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7425"/>
      <w:bookmarkStart w:id="3" w:name="_Toc15377193"/>
      <w:bookmarkStart w:id="4" w:name="_Toc15378441"/>
      <w:bookmarkStart w:id="5" w:name="_Toc15396597"/>
      <w:r>
        <w:rPr>
          <w:rFonts w:ascii="黑体" w:hAnsi="黑体" w:eastAsia="黑体"/>
          <w:color w:val="000000"/>
          <w:sz w:val="72"/>
          <w:szCs w:val="72"/>
        </w:rPr>
        <w:t>2018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77194"/>
      <w:bookmarkStart w:id="8" w:name="_Toc15396476"/>
      <w:bookmarkStart w:id="9" w:name="_Toc15396598"/>
      <w:bookmarkStart w:id="10" w:name="_Toc15377426"/>
      <w:r>
        <w:rPr>
          <w:rFonts w:hint="eastAsia" w:ascii="方正小标宋简体" w:hAnsi="宋体" w:eastAsia="方正小标宋简体"/>
          <w:color w:val="000000"/>
          <w:sz w:val="72"/>
          <w:szCs w:val="72"/>
          <w:lang w:eastAsia="zh-CN"/>
        </w:rPr>
        <w:t>原</w:t>
      </w:r>
      <w:r>
        <w:rPr>
          <w:rFonts w:hint="eastAsia" w:ascii="方正小标宋简体" w:hAnsi="宋体" w:eastAsia="方正小标宋简体"/>
          <w:color w:val="000000"/>
          <w:sz w:val="72"/>
          <w:szCs w:val="72"/>
        </w:rPr>
        <w:t>绵阳市</w:t>
      </w:r>
      <w:bookmarkEnd w:id="0"/>
      <w:bookmarkStart w:id="11" w:name="_Toc15306268"/>
      <w:r>
        <w:rPr>
          <w:rFonts w:hint="eastAsia" w:ascii="方正小标宋简体" w:hAnsi="宋体" w:eastAsia="方正小标宋简体"/>
          <w:color w:val="000000"/>
          <w:sz w:val="72"/>
          <w:szCs w:val="72"/>
          <w:lang w:eastAsia="zh-CN"/>
        </w:rPr>
        <w:t>食品药品监督管理局</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w:t>
      </w:r>
      <w:r>
        <w:t>2019</w:t>
      </w:r>
      <w:r>
        <w:rPr>
          <w:rFonts w:hint="eastAsia"/>
        </w:rPr>
        <w:t>年</w:t>
      </w:r>
      <w:r>
        <w:t>9</w:t>
      </w:r>
      <w:r>
        <w:rPr>
          <w:rFonts w:hint="eastAsia"/>
        </w:rPr>
        <w:t>月</w:t>
      </w:r>
      <w:r>
        <w:t>27</w:t>
      </w:r>
      <w:r>
        <w:rPr>
          <w:rFonts w:hint="eastAsia"/>
        </w:rPr>
        <w:t>日</w:t>
      </w:r>
    </w:p>
    <w:p/>
    <w:p>
      <w:pPr>
        <w:pStyle w:val="10"/>
      </w:pPr>
      <w:r>
        <w:fldChar w:fldCharType="begin"/>
      </w:r>
      <w:r>
        <w:instrText xml:space="preserve"> HYPERLINK \l "_Toc15396599" </w:instrText>
      </w:r>
      <w:r>
        <w:fldChar w:fldCharType="separate"/>
      </w:r>
      <w:r>
        <w:rPr>
          <w:rStyle w:val="18"/>
          <w:rFonts w:hint="eastAsia"/>
        </w:rPr>
        <w:t>第一部分</w:t>
      </w:r>
      <w:r>
        <w:rPr>
          <w:rStyle w:val="18"/>
        </w:rPr>
        <w:t xml:space="preserve"> </w:t>
      </w:r>
      <w:r>
        <w:rPr>
          <w:rStyle w:val="18"/>
          <w:rFonts w:hint="eastAsia"/>
        </w:rPr>
        <w:t>部门概况</w:t>
      </w:r>
      <w:r>
        <w:tab/>
      </w:r>
      <w:r>
        <w:t>4</w:t>
      </w:r>
      <w:r>
        <w:fldChar w:fldCharType="end"/>
      </w:r>
    </w:p>
    <w:p>
      <w:pPr>
        <w:pStyle w:val="11"/>
        <w:rPr>
          <w:rFonts w:ascii="仿宋" w:hAnsi="仿宋" w:eastAsia="仿宋"/>
          <w:sz w:val="28"/>
          <w:szCs w:val="28"/>
        </w:rPr>
      </w:pPr>
      <w:r>
        <w:fldChar w:fldCharType="begin"/>
      </w:r>
      <w:r>
        <w:instrText xml:space="preserve"> HYPERLINK \l "_Toc15396600" </w:instrText>
      </w:r>
      <w:r>
        <w:fldChar w:fldCharType="separate"/>
      </w:r>
      <w:r>
        <w:rPr>
          <w:rStyle w:val="18"/>
          <w:rFonts w:hint="eastAsia" w:ascii="仿宋" w:hAnsi="仿宋" w:eastAsia="仿宋"/>
          <w:sz w:val="28"/>
          <w:szCs w:val="28"/>
        </w:rPr>
        <w:t>一、基本职能及主要工作</w:t>
      </w:r>
      <w:r>
        <w:rPr>
          <w:rFonts w:ascii="仿宋" w:hAnsi="仿宋" w:eastAsia="仿宋"/>
          <w:sz w:val="28"/>
          <w:szCs w:val="28"/>
        </w:rPr>
        <w:tab/>
      </w:r>
      <w:r>
        <w:rPr>
          <w:rFonts w:ascii="仿宋" w:hAnsi="仿宋" w:eastAsia="仿宋"/>
          <w:sz w:val="28"/>
          <w:szCs w:val="28"/>
        </w:rPr>
        <w:t>4</w:t>
      </w:r>
      <w:r>
        <w:rPr>
          <w:rFonts w:ascii="仿宋" w:hAnsi="仿宋" w:eastAsia="仿宋"/>
          <w:sz w:val="28"/>
          <w:szCs w:val="28"/>
        </w:rPr>
        <w:fldChar w:fldCharType="end"/>
      </w:r>
    </w:p>
    <w:p>
      <w:pPr>
        <w:pStyle w:val="11"/>
        <w:rPr>
          <w:rFonts w:hint="eastAsia" w:ascii="仿宋" w:hAnsi="仿宋" w:eastAsia="仿宋"/>
          <w:sz w:val="28"/>
          <w:szCs w:val="28"/>
          <w:lang w:val="en-US" w:eastAsia="zh-CN"/>
        </w:rPr>
      </w:pPr>
      <w:r>
        <w:fldChar w:fldCharType="begin"/>
      </w:r>
      <w:r>
        <w:instrText xml:space="preserve"> HYPERLINK \l "_Toc15396601" </w:instrText>
      </w:r>
      <w:r>
        <w:fldChar w:fldCharType="separate"/>
      </w:r>
      <w:r>
        <w:rPr>
          <w:rStyle w:val="18"/>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1</w:t>
      </w:r>
    </w:p>
    <w:p>
      <w:pPr>
        <w:pStyle w:val="10"/>
        <w:rPr>
          <w:rFonts w:hint="eastAsia" w:eastAsia="仿宋"/>
          <w:lang w:val="en-US" w:eastAsia="zh-CN"/>
        </w:rPr>
      </w:pPr>
      <w:r>
        <w:fldChar w:fldCharType="begin"/>
      </w:r>
      <w:r>
        <w:instrText xml:space="preserve"> HYPERLINK \l "_Toc15396602" </w:instrText>
      </w:r>
      <w:r>
        <w:fldChar w:fldCharType="separate"/>
      </w:r>
      <w:r>
        <w:rPr>
          <w:rStyle w:val="18"/>
          <w:rFonts w:hint="eastAsia"/>
        </w:rPr>
        <w:t>第二部分</w:t>
      </w:r>
      <w:r>
        <w:rPr>
          <w:rStyle w:val="18"/>
        </w:rPr>
        <w:t xml:space="preserve"> 2018</w:t>
      </w:r>
      <w:r>
        <w:rPr>
          <w:rStyle w:val="18"/>
          <w:rFonts w:hint="eastAsia"/>
        </w:rPr>
        <w:t>年度部门决算情况说明</w:t>
      </w:r>
      <w:r>
        <w:tab/>
      </w:r>
      <w:r>
        <w:rPr>
          <w:rFonts w:hint="eastAsia"/>
          <w:lang w:val="en-US" w:eastAsia="zh-CN"/>
        </w:rPr>
        <w:t>1</w:t>
      </w:r>
      <w:r>
        <w:fldChar w:fldCharType="end"/>
      </w:r>
      <w:r>
        <w:rPr>
          <w:rFonts w:hint="eastAsia"/>
          <w:lang w:val="en-US" w:eastAsia="zh-CN"/>
        </w:rPr>
        <w:t>3</w:t>
      </w:r>
    </w:p>
    <w:p>
      <w:pPr>
        <w:pStyle w:val="11"/>
        <w:rPr>
          <w:rFonts w:hint="eastAsia" w:ascii="仿宋" w:hAnsi="仿宋" w:eastAsia="仿宋"/>
          <w:sz w:val="28"/>
          <w:szCs w:val="28"/>
          <w:lang w:val="en-US" w:eastAsia="zh-CN"/>
        </w:rPr>
      </w:pPr>
      <w:r>
        <w:fldChar w:fldCharType="begin"/>
      </w:r>
      <w:r>
        <w:instrText xml:space="preserve"> HYPERLINK \l "_Toc15396603" </w:instrText>
      </w:r>
      <w:r>
        <w:fldChar w:fldCharType="separate"/>
      </w:r>
      <w:r>
        <w:rPr>
          <w:rStyle w:val="18"/>
          <w:rFonts w:hint="eastAsia" w:ascii="仿宋" w:hAnsi="仿宋" w:eastAsia="仿宋"/>
          <w:bCs/>
          <w:sz w:val="28"/>
          <w:szCs w:val="28"/>
        </w:rPr>
        <w:t>一、</w:t>
      </w:r>
      <w:r>
        <w:rPr>
          <w:rStyle w:val="18"/>
          <w:rFonts w:hint="eastAsia" w:ascii="仿宋" w:hAnsi="仿宋" w:eastAsia="仿宋"/>
          <w:sz w:val="28"/>
          <w:szCs w:val="28"/>
        </w:rPr>
        <w:t>收</w:t>
      </w:r>
      <w:r>
        <w:rPr>
          <w:rStyle w:val="18"/>
          <w:rFonts w:hint="eastAsia" w:ascii="仿宋" w:hAnsi="仿宋" w:eastAsia="仿宋"/>
          <w:bCs/>
          <w:sz w:val="28"/>
          <w:szCs w:val="28"/>
        </w:rPr>
        <w:t>入支出决算总体情况说明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1"/>
        <w:rPr>
          <w:rFonts w:hint="eastAsia" w:ascii="仿宋" w:hAnsi="仿宋" w:eastAsia="仿宋"/>
          <w:sz w:val="28"/>
          <w:szCs w:val="28"/>
          <w:lang w:val="en-US" w:eastAsia="zh-CN"/>
        </w:rPr>
      </w:pPr>
      <w:r>
        <w:fldChar w:fldCharType="begin"/>
      </w:r>
      <w:r>
        <w:instrText xml:space="preserve"> HYPERLINK \l "_Toc15396604" </w:instrText>
      </w:r>
      <w:r>
        <w:fldChar w:fldCharType="separate"/>
      </w:r>
      <w:r>
        <w:rPr>
          <w:rStyle w:val="18"/>
          <w:rFonts w:hint="eastAsia" w:ascii="仿宋" w:hAnsi="仿宋" w:eastAsia="仿宋"/>
          <w:bCs/>
          <w:sz w:val="28"/>
          <w:szCs w:val="28"/>
        </w:rPr>
        <w:t>二、</w:t>
      </w:r>
      <w:r>
        <w:rPr>
          <w:rStyle w:val="18"/>
          <w:rFonts w:hint="eastAsia" w:ascii="仿宋" w:hAnsi="仿宋" w:eastAsia="仿宋"/>
          <w:sz w:val="28"/>
          <w:szCs w:val="28"/>
        </w:rPr>
        <w:t>收</w:t>
      </w:r>
      <w:r>
        <w:rPr>
          <w:rStyle w:val="18"/>
          <w:rFonts w:hint="eastAsia" w:ascii="仿宋" w:hAnsi="仿宋" w:eastAsia="仿宋"/>
          <w:bCs/>
          <w:sz w:val="28"/>
          <w:szCs w:val="28"/>
        </w:rPr>
        <w:t>入决算情况说明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1"/>
        <w:rPr>
          <w:rFonts w:hint="eastAsia" w:ascii="仿宋" w:hAnsi="仿宋" w:eastAsia="仿宋"/>
          <w:sz w:val="28"/>
          <w:szCs w:val="28"/>
          <w:lang w:val="en-US" w:eastAsia="zh-CN"/>
        </w:rPr>
      </w:pPr>
      <w:r>
        <w:fldChar w:fldCharType="begin"/>
      </w:r>
      <w:r>
        <w:instrText xml:space="preserve"> HYPERLINK \l "_Toc15396605" </w:instrText>
      </w:r>
      <w:r>
        <w:fldChar w:fldCharType="separate"/>
      </w:r>
      <w:r>
        <w:rPr>
          <w:rStyle w:val="18"/>
          <w:rFonts w:hint="eastAsia" w:ascii="仿宋" w:hAnsi="仿宋" w:eastAsia="仿宋"/>
          <w:bCs/>
          <w:sz w:val="28"/>
          <w:szCs w:val="28"/>
        </w:rPr>
        <w:t>三、</w:t>
      </w:r>
      <w:r>
        <w:rPr>
          <w:rStyle w:val="18"/>
          <w:rFonts w:hint="eastAsia" w:ascii="仿宋" w:hAnsi="仿宋" w:eastAsia="仿宋"/>
          <w:sz w:val="28"/>
          <w:szCs w:val="28"/>
        </w:rPr>
        <w:t>支</w:t>
      </w:r>
      <w:r>
        <w:rPr>
          <w:rStyle w:val="18"/>
          <w:rFonts w:hint="eastAsia" w:ascii="仿宋" w:hAnsi="仿宋" w:eastAsia="仿宋"/>
          <w:bCs/>
          <w:sz w:val="28"/>
          <w:szCs w:val="28"/>
        </w:rPr>
        <w:t>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1"/>
        <w:rPr>
          <w:rFonts w:hint="eastAsia" w:ascii="仿宋" w:hAnsi="仿宋" w:eastAsia="仿宋"/>
          <w:sz w:val="28"/>
          <w:szCs w:val="28"/>
          <w:lang w:val="en-US" w:eastAsia="zh-CN"/>
        </w:rPr>
      </w:pPr>
      <w:r>
        <w:fldChar w:fldCharType="begin"/>
      </w:r>
      <w:r>
        <w:instrText xml:space="preserve"> HYPERLINK \l "_Toc15396606" </w:instrText>
      </w:r>
      <w:r>
        <w:fldChar w:fldCharType="separate"/>
      </w:r>
      <w:r>
        <w:rPr>
          <w:rStyle w:val="18"/>
          <w:rFonts w:hint="eastAsia" w:ascii="仿宋" w:hAnsi="仿宋" w:eastAsia="仿宋"/>
          <w:sz w:val="28"/>
          <w:szCs w:val="28"/>
        </w:rPr>
        <w:t>四、财</w:t>
      </w:r>
      <w:r>
        <w:rPr>
          <w:rStyle w:val="18"/>
          <w:rFonts w:hint="eastAsia" w:ascii="仿宋" w:hAnsi="仿宋" w:eastAsia="仿宋"/>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1"/>
        <w:rPr>
          <w:rFonts w:hint="eastAsia" w:ascii="仿宋" w:hAnsi="仿宋" w:eastAsia="仿宋"/>
          <w:sz w:val="28"/>
          <w:szCs w:val="28"/>
          <w:lang w:val="en-US" w:eastAsia="zh-CN"/>
        </w:rPr>
      </w:pPr>
      <w:r>
        <w:fldChar w:fldCharType="begin"/>
      </w:r>
      <w:r>
        <w:instrText xml:space="preserve"> HYPERLINK \l "_Toc15396607" </w:instrText>
      </w:r>
      <w:r>
        <w:fldChar w:fldCharType="separate"/>
      </w:r>
      <w:r>
        <w:rPr>
          <w:rStyle w:val="18"/>
          <w:rFonts w:hint="eastAsia" w:ascii="仿宋" w:hAnsi="仿宋" w:eastAsia="仿宋"/>
          <w:sz w:val="28"/>
          <w:szCs w:val="28"/>
        </w:rPr>
        <w:t>五、一</w:t>
      </w:r>
      <w:r>
        <w:rPr>
          <w:rStyle w:val="18"/>
          <w:rFonts w:hint="eastAsia" w:ascii="仿宋" w:hAnsi="仿宋" w:eastAsia="仿宋"/>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4</w:t>
      </w:r>
    </w:p>
    <w:p>
      <w:pPr>
        <w:pStyle w:val="11"/>
        <w:rPr>
          <w:rFonts w:hint="eastAsia" w:ascii="仿宋" w:hAnsi="仿宋" w:eastAsia="仿宋"/>
          <w:sz w:val="28"/>
          <w:szCs w:val="28"/>
          <w:lang w:val="en-US" w:eastAsia="zh-CN"/>
        </w:rPr>
      </w:pPr>
      <w:r>
        <w:fldChar w:fldCharType="begin"/>
      </w:r>
      <w:r>
        <w:instrText xml:space="preserve"> HYPERLINK \l "_Toc15396608" </w:instrText>
      </w:r>
      <w:r>
        <w:fldChar w:fldCharType="separate"/>
      </w:r>
      <w:r>
        <w:rPr>
          <w:rStyle w:val="18"/>
          <w:rFonts w:hint="eastAsia" w:ascii="仿宋" w:hAnsi="仿宋" w:eastAsia="仿宋"/>
          <w:sz w:val="28"/>
          <w:szCs w:val="28"/>
        </w:rPr>
        <w:t>六、一</w:t>
      </w:r>
      <w:r>
        <w:rPr>
          <w:rStyle w:val="18"/>
          <w:rFonts w:hint="eastAsia" w:ascii="仿宋" w:hAnsi="仿宋" w:eastAsia="仿宋"/>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eastAsia" w:ascii="仿宋" w:hAnsi="仿宋" w:eastAsia="仿宋"/>
          <w:sz w:val="28"/>
          <w:szCs w:val="28"/>
          <w:lang w:val="en-US" w:eastAsia="zh-CN"/>
        </w:rPr>
      </w:pPr>
      <w:r>
        <w:fldChar w:fldCharType="begin"/>
      </w:r>
      <w:r>
        <w:instrText xml:space="preserve"> HYPERLINK \l "_Toc15396609" </w:instrText>
      </w:r>
      <w:r>
        <w:fldChar w:fldCharType="separate"/>
      </w:r>
      <w:r>
        <w:rPr>
          <w:rStyle w:val="18"/>
          <w:rFonts w:hint="eastAsia" w:ascii="仿宋" w:hAnsi="仿宋" w:eastAsia="仿宋"/>
          <w:sz w:val="28"/>
          <w:szCs w:val="28"/>
        </w:rPr>
        <w:t>七、“</w:t>
      </w:r>
      <w:r>
        <w:rPr>
          <w:rStyle w:val="18"/>
          <w:rFonts w:hint="eastAsia" w:ascii="仿宋" w:hAnsi="仿宋" w:eastAsia="仿宋"/>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rPr>
          <w:rFonts w:hint="eastAsia" w:ascii="仿宋" w:hAnsi="仿宋" w:eastAsia="仿宋"/>
          <w:sz w:val="28"/>
          <w:szCs w:val="28"/>
          <w:lang w:val="en-US" w:eastAsia="zh-CN"/>
        </w:rPr>
      </w:pPr>
      <w:r>
        <w:fldChar w:fldCharType="begin"/>
      </w:r>
      <w:r>
        <w:instrText xml:space="preserve"> HYPERLINK \l "_Toc15396610" </w:instrText>
      </w:r>
      <w:r>
        <w:fldChar w:fldCharType="separate"/>
      </w:r>
      <w:r>
        <w:rPr>
          <w:rStyle w:val="18"/>
          <w:rFonts w:hint="eastAsia" w:ascii="仿宋" w:hAnsi="仿宋" w:eastAsia="仿宋"/>
          <w:sz w:val="28"/>
          <w:szCs w:val="28"/>
        </w:rPr>
        <w:t>八、</w:t>
      </w:r>
      <w:r>
        <w:rPr>
          <w:rStyle w:val="18"/>
          <w:rFonts w:hint="eastAsia" w:ascii="仿宋" w:hAnsi="仿宋" w:eastAsia="仿宋"/>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sz w:val="28"/>
          <w:szCs w:val="28"/>
          <w:lang w:val="en-US" w:eastAsia="zh-CN"/>
        </w:rPr>
      </w:pPr>
      <w:r>
        <w:fldChar w:fldCharType="begin"/>
      </w:r>
      <w:r>
        <w:instrText xml:space="preserve"> HYPERLINK \l "_Toc15396611" </w:instrText>
      </w:r>
      <w:r>
        <w:fldChar w:fldCharType="separate"/>
      </w:r>
      <w:r>
        <w:rPr>
          <w:rStyle w:val="18"/>
          <w:rFonts w:hint="eastAsia" w:ascii="仿宋" w:hAnsi="仿宋" w:eastAsia="仿宋"/>
          <w:bCs/>
          <w:sz w:val="28"/>
          <w:szCs w:val="28"/>
        </w:rPr>
        <w:t>九、</w:t>
      </w:r>
      <w:r>
        <w:rPr>
          <w:rStyle w:val="18"/>
          <w:rFonts w:ascii="仿宋" w:hAnsi="仿宋" w:eastAsia="仿宋"/>
          <w:sz w:val="28"/>
          <w:szCs w:val="28"/>
        </w:rPr>
        <w:t xml:space="preserve"> </w:t>
      </w:r>
      <w:r>
        <w:rPr>
          <w:rStyle w:val="18"/>
          <w:rFonts w:hint="eastAsia" w:ascii="仿宋" w:hAnsi="仿宋" w:eastAsia="仿宋"/>
          <w:sz w:val="28"/>
          <w:szCs w:val="28"/>
        </w:rPr>
        <w:t>国</w:t>
      </w:r>
      <w:r>
        <w:rPr>
          <w:rStyle w:val="18"/>
          <w:rFonts w:hint="eastAsia" w:ascii="仿宋" w:hAnsi="仿宋" w:eastAsia="仿宋"/>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sz w:val="28"/>
          <w:szCs w:val="28"/>
          <w:lang w:val="en-US" w:eastAsia="zh-CN"/>
        </w:rPr>
      </w:pPr>
      <w:r>
        <w:fldChar w:fldCharType="begin"/>
      </w:r>
      <w:r>
        <w:instrText xml:space="preserve"> HYPERLINK \l "_Toc15396612" </w:instrText>
      </w:r>
      <w:r>
        <w:fldChar w:fldCharType="separate"/>
      </w:r>
      <w:r>
        <w:rPr>
          <w:rStyle w:val="18"/>
          <w:rFonts w:hint="eastAsia" w:ascii="仿宋" w:hAnsi="仿宋" w:eastAsia="仿宋"/>
          <w:sz w:val="28"/>
          <w:szCs w:val="28"/>
        </w:rPr>
        <w:t>十</w:t>
      </w:r>
      <w:r>
        <w:rPr>
          <w:rStyle w:val="18"/>
          <w:rFonts w:hint="eastAsia" w:ascii="仿宋" w:hAnsi="仿宋" w:eastAsia="仿宋"/>
          <w:bCs/>
          <w:sz w:val="28"/>
          <w:szCs w:val="28"/>
        </w:rPr>
        <w:t>一、其他重要事项的情况说明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4</w:t>
      </w:r>
    </w:p>
    <w:p>
      <w:pPr>
        <w:pStyle w:val="10"/>
      </w:pPr>
      <w:r>
        <w:fldChar w:fldCharType="begin"/>
      </w:r>
      <w:r>
        <w:instrText xml:space="preserve"> HYPERLINK \l "_Toc15396613" </w:instrText>
      </w:r>
      <w:r>
        <w:fldChar w:fldCharType="separate"/>
      </w:r>
      <w:r>
        <w:rPr>
          <w:rStyle w:val="18"/>
          <w:rFonts w:hint="eastAsia"/>
          <w:bCs/>
          <w:kern w:val="44"/>
        </w:rPr>
        <w:t>第三部分</w:t>
      </w:r>
      <w:r>
        <w:rPr>
          <w:rStyle w:val="18"/>
        </w:rPr>
        <w:t xml:space="preserve"> </w:t>
      </w:r>
      <w:r>
        <w:rPr>
          <w:rStyle w:val="18"/>
          <w:rFonts w:hint="eastAsia"/>
        </w:rPr>
        <w:t>名</w:t>
      </w:r>
      <w:r>
        <w:rPr>
          <w:rStyle w:val="18"/>
          <w:rFonts w:hint="eastAsia"/>
          <w:bCs/>
          <w:kern w:val="44"/>
        </w:rPr>
        <w:t>词解释</w:t>
      </w:r>
      <w:r>
        <w:tab/>
      </w:r>
      <w:r>
        <w:rPr>
          <w:rFonts w:hint="eastAsia"/>
          <w:lang w:val="en-US" w:eastAsia="zh-CN"/>
        </w:rPr>
        <w:t>2</w:t>
      </w:r>
      <w:r>
        <w:t>6</w:t>
      </w:r>
      <w:r>
        <w:fldChar w:fldCharType="end"/>
      </w:r>
    </w:p>
    <w:p>
      <w:pPr>
        <w:pStyle w:val="10"/>
        <w:rPr>
          <w:rFonts w:hint="eastAsia" w:eastAsia="仿宋"/>
          <w:lang w:val="en-US" w:eastAsia="zh-CN"/>
        </w:rPr>
      </w:pPr>
      <w:r>
        <w:fldChar w:fldCharType="begin"/>
      </w:r>
      <w:r>
        <w:instrText xml:space="preserve"> HYPERLINK \l "_Toc15396614" </w:instrText>
      </w:r>
      <w:r>
        <w:fldChar w:fldCharType="separate"/>
      </w:r>
      <w:r>
        <w:rPr>
          <w:rStyle w:val="18"/>
          <w:rFonts w:hint="eastAsia"/>
        </w:rPr>
        <w:t>第</w:t>
      </w:r>
      <w:r>
        <w:rPr>
          <w:rStyle w:val="18"/>
          <w:rFonts w:hint="eastAsia"/>
          <w:bCs/>
          <w:kern w:val="44"/>
        </w:rPr>
        <w:t>四部分</w:t>
      </w:r>
      <w:r>
        <w:rPr>
          <w:rStyle w:val="18"/>
          <w:bCs/>
          <w:kern w:val="44"/>
        </w:rPr>
        <w:t xml:space="preserve"> </w:t>
      </w:r>
      <w:r>
        <w:rPr>
          <w:rStyle w:val="18"/>
          <w:rFonts w:hint="eastAsia"/>
          <w:bCs/>
          <w:kern w:val="44"/>
        </w:rPr>
        <w:t>附件</w:t>
      </w:r>
      <w:r>
        <w:tab/>
      </w:r>
      <w:r>
        <w:rPr>
          <w:rFonts w:hint="eastAsia"/>
          <w:lang w:val="en-US" w:eastAsia="zh-CN"/>
        </w:rPr>
        <w:t>3</w:t>
      </w:r>
      <w:r>
        <w:fldChar w:fldCharType="end"/>
      </w:r>
      <w:r>
        <w:rPr>
          <w:rFonts w:hint="eastAsia"/>
          <w:lang w:val="en-US" w:eastAsia="zh-CN"/>
        </w:rPr>
        <w:t>0</w:t>
      </w:r>
    </w:p>
    <w:p>
      <w:pPr>
        <w:pStyle w:val="11"/>
        <w:rPr>
          <w:rFonts w:hint="eastAsia" w:ascii="仿宋" w:hAnsi="仿宋" w:eastAsia="仿宋"/>
          <w:sz w:val="28"/>
          <w:szCs w:val="28"/>
          <w:lang w:val="en-US" w:eastAsia="zh-CN"/>
        </w:rPr>
      </w:pPr>
      <w:r>
        <w:fldChar w:fldCharType="begin"/>
      </w:r>
      <w:r>
        <w:instrText xml:space="preserve"> HYPERLINK \l "_Toc15396615" </w:instrText>
      </w:r>
      <w:r>
        <w:fldChar w:fldCharType="separate"/>
      </w:r>
      <w:r>
        <w:rPr>
          <w:rStyle w:val="18"/>
          <w:rFonts w:hint="eastAsia" w:ascii="仿宋" w:hAnsi="仿宋" w:eastAsia="仿宋"/>
          <w:kern w:val="44"/>
          <w:sz w:val="28"/>
          <w:szCs w:val="28"/>
        </w:rPr>
        <w:t>附件</w:t>
      </w:r>
      <w:r>
        <w:rPr>
          <w:rStyle w:val="18"/>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0</w:t>
      </w:r>
    </w:p>
    <w:p>
      <w:pPr>
        <w:pStyle w:val="11"/>
        <w:rPr>
          <w:rFonts w:hint="eastAsia" w:ascii="仿宋" w:hAnsi="仿宋" w:eastAsia="仿宋"/>
          <w:sz w:val="28"/>
          <w:szCs w:val="28"/>
          <w:lang w:val="en-US" w:eastAsia="zh-CN"/>
        </w:rPr>
      </w:pPr>
      <w:r>
        <w:fldChar w:fldCharType="begin"/>
      </w:r>
      <w:r>
        <w:instrText xml:space="preserve"> HYPERLINK \l "_Toc15396617" </w:instrText>
      </w:r>
      <w:r>
        <w:fldChar w:fldCharType="separate"/>
      </w:r>
      <w:r>
        <w:rPr>
          <w:rStyle w:val="18"/>
          <w:rFonts w:hint="eastAsia" w:ascii="仿宋" w:hAnsi="仿宋" w:eastAsia="仿宋"/>
          <w:kern w:val="44"/>
          <w:sz w:val="28"/>
          <w:szCs w:val="28"/>
        </w:rPr>
        <w:t>附件</w:t>
      </w:r>
      <w:r>
        <w:rPr>
          <w:rStyle w:val="18"/>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end"/>
      </w:r>
    </w:p>
    <w:p>
      <w:pPr>
        <w:pStyle w:val="10"/>
        <w:rPr>
          <w:rFonts w:hint="eastAsia" w:eastAsia="仿宋"/>
          <w:lang w:val="en-US" w:eastAsia="zh-CN"/>
        </w:rPr>
      </w:pPr>
      <w:r>
        <w:fldChar w:fldCharType="begin"/>
      </w:r>
      <w:r>
        <w:instrText xml:space="preserve"> HYPERLINK \l "_Toc15396618" </w:instrText>
      </w:r>
      <w:r>
        <w:fldChar w:fldCharType="separate"/>
      </w:r>
      <w:r>
        <w:rPr>
          <w:rStyle w:val="18"/>
          <w:rFonts w:hint="eastAsia"/>
        </w:rPr>
        <w:t>第</w:t>
      </w:r>
      <w:r>
        <w:rPr>
          <w:rStyle w:val="18"/>
          <w:rFonts w:hint="eastAsia"/>
          <w:bCs/>
          <w:kern w:val="44"/>
        </w:rPr>
        <w:t>五部分</w:t>
      </w:r>
      <w:r>
        <w:rPr>
          <w:rStyle w:val="18"/>
          <w:bCs/>
          <w:kern w:val="44"/>
        </w:rPr>
        <w:t xml:space="preserve"> </w:t>
      </w:r>
      <w:r>
        <w:rPr>
          <w:rStyle w:val="18"/>
          <w:rFonts w:hint="eastAsia"/>
          <w:bCs/>
          <w:kern w:val="44"/>
        </w:rPr>
        <w:t>附表</w:t>
      </w:r>
      <w:r>
        <w:tab/>
      </w:r>
      <w:r>
        <w:rPr>
          <w:rFonts w:hint="eastAsia"/>
          <w:lang w:val="en-US" w:eastAsia="zh-CN"/>
        </w:rPr>
        <w:t>4</w:t>
      </w:r>
      <w:r>
        <w:fldChar w:fldCharType="end"/>
      </w:r>
      <w:r>
        <w:rPr>
          <w:rFonts w:hint="eastAsia"/>
          <w:lang w:val="en-US" w:eastAsia="zh-CN"/>
        </w:rPr>
        <w:t>3</w:t>
      </w:r>
    </w:p>
    <w:p>
      <w:pPr>
        <w:pStyle w:val="11"/>
        <w:rPr>
          <w:rFonts w:hint="eastAsia" w:ascii="仿宋" w:hAnsi="仿宋" w:eastAsia="仿宋"/>
          <w:sz w:val="28"/>
          <w:szCs w:val="28"/>
          <w:lang w:val="en-US" w:eastAsia="zh-CN"/>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8"/>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1"/>
        <w:rPr>
          <w:rFonts w:hint="eastAsia" w:ascii="仿宋" w:hAnsi="仿宋" w:eastAsia="仿宋"/>
          <w:sz w:val="28"/>
          <w:szCs w:val="28"/>
          <w:lang w:val="en-US" w:eastAsia="zh-CN"/>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8"/>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1"/>
        <w:rPr>
          <w:rFonts w:hint="eastAsia" w:ascii="仿宋" w:hAnsi="仿宋" w:eastAsia="仿宋"/>
          <w:sz w:val="28"/>
          <w:szCs w:val="28"/>
          <w:lang w:val="en-US" w:eastAsia="zh-CN"/>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8"/>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1"/>
        <w:rPr>
          <w:rFonts w:hint="eastAsia" w:ascii="仿宋" w:hAnsi="仿宋" w:eastAsia="仿宋"/>
          <w:sz w:val="28"/>
          <w:szCs w:val="28"/>
          <w:lang w:val="en-US" w:eastAsia="zh-CN"/>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8"/>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1"/>
        <w:rPr>
          <w:rFonts w:hint="eastAsia" w:ascii="仿宋" w:hAnsi="仿宋" w:eastAsia="仿宋"/>
          <w:sz w:val="28"/>
          <w:szCs w:val="28"/>
          <w:lang w:val="en-US" w:eastAsia="zh-CN"/>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1"/>
        <w:rPr>
          <w:rFonts w:hint="eastAsia" w:ascii="仿宋" w:hAnsi="仿宋" w:eastAsia="仿宋"/>
          <w:sz w:val="28"/>
          <w:szCs w:val="28"/>
          <w:lang w:val="en-US" w:eastAsia="zh-CN"/>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8"/>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1"/>
        <w:rPr>
          <w:rFonts w:hint="eastAsia" w:ascii="仿宋" w:hAnsi="仿宋" w:eastAsia="仿宋"/>
          <w:sz w:val="28"/>
          <w:szCs w:val="28"/>
          <w:lang w:val="en-US" w:eastAsia="zh-CN"/>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8"/>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1"/>
        <w:rPr>
          <w:rFonts w:hint="eastAsia" w:ascii="仿宋" w:hAnsi="仿宋" w:eastAsia="仿宋"/>
          <w:sz w:val="28"/>
          <w:szCs w:val="28"/>
          <w:lang w:val="en-US" w:eastAsia="zh-CN"/>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8"/>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1"/>
        <w:rPr>
          <w:rFonts w:hint="eastAsia" w:ascii="仿宋" w:hAnsi="仿宋" w:eastAsia="仿宋"/>
          <w:sz w:val="28"/>
          <w:szCs w:val="28"/>
          <w:lang w:val="en-US" w:eastAsia="zh-CN"/>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8"/>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1"/>
        <w:rPr>
          <w:rFonts w:hint="eastAsia" w:ascii="仿宋" w:hAnsi="仿宋" w:eastAsia="仿宋"/>
          <w:sz w:val="28"/>
          <w:szCs w:val="28"/>
          <w:lang w:val="en-US" w:eastAsia="zh-CN"/>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8"/>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1"/>
        <w:rPr>
          <w:rFonts w:hint="eastAsia" w:ascii="仿宋" w:hAnsi="仿宋" w:eastAsia="仿宋"/>
          <w:sz w:val="28"/>
          <w:szCs w:val="28"/>
          <w:lang w:val="en-US" w:eastAsia="zh-CN"/>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8"/>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1"/>
        <w:rPr>
          <w:rFonts w:hint="eastAsia" w:ascii="仿宋" w:hAnsi="仿宋" w:eastAsia="仿宋"/>
          <w:sz w:val="28"/>
          <w:szCs w:val="28"/>
          <w:lang w:val="en-US" w:eastAsia="zh-CN"/>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8"/>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1"/>
        <w:rPr>
          <w:rFonts w:hint="eastAsia" w:ascii="仿宋" w:hAnsi="仿宋" w:eastAsia="仿宋"/>
          <w:sz w:val="28"/>
          <w:szCs w:val="28"/>
          <w:lang w:val="en-US" w:eastAsia="zh-CN"/>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8"/>
          <w:rFonts w:hint="eastAsia" w:ascii="仿宋" w:hAnsi="仿宋" w:eastAsia="仿宋"/>
          <w:sz w:val="28"/>
          <w:szCs w:val="28"/>
        </w:rPr>
        <w:t>国有资本经营预算支出决算表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3</w:t>
      </w:r>
    </w:p>
    <w:p>
      <w:pPr>
        <w:widowControl/>
        <w:jc w:val="left"/>
        <w:rPr>
          <w:rFonts w:ascii="仿宋" w:hAnsi="仿宋" w:eastAsia="仿宋"/>
          <w:color w:val="000000"/>
          <w:sz w:val="24"/>
        </w:rPr>
      </w:pPr>
      <w:r>
        <w:rPr>
          <w:rFonts w:ascii="黑体" w:hAnsi="黑体" w:eastAsia="黑体"/>
          <w:color w:val="000000"/>
          <w:sz w:val="48"/>
          <w:szCs w:val="48"/>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19"/>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9"/>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0"/>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0"/>
          <w:rFonts w:hint="eastAsia" w:ascii="黑体" w:hAnsi="黑体" w:eastAsia="黑体"/>
          <w:b w:val="0"/>
          <w:bCs w:val="0"/>
        </w:rPr>
        <w:t>本职能及主要工作</w:t>
      </w:r>
      <w:bookmarkEnd w:id="14"/>
      <w:bookmarkEnd w:id="15"/>
    </w:p>
    <w:p>
      <w:pPr>
        <w:pStyle w:val="12"/>
        <w:keepNext w:val="0"/>
        <w:keepLines w:val="0"/>
        <w:widowControl/>
        <w:suppressLineNumbers w:val="0"/>
        <w:spacing w:before="0" w:beforeAutospacing="0" w:after="0" w:afterAutospacing="0" w:line="600" w:lineRule="atLeast"/>
        <w:ind w:left="0" w:right="0" w:firstLine="640" w:firstLineChars="200"/>
        <w:jc w:val="both"/>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bookmarkStart w:id="18" w:name="_Toc15377199"/>
      <w:bookmarkStart w:id="19" w:name="_Toc15378446"/>
    </w:p>
    <w:p>
      <w:pPr>
        <w:pStyle w:val="12"/>
        <w:keepNext w:val="0"/>
        <w:keepLines w:val="0"/>
        <w:widowControl/>
        <w:suppressLineNumbers w:val="0"/>
        <w:spacing w:before="0" w:beforeAutospacing="0" w:after="0" w:afterAutospacing="0" w:line="600" w:lineRule="atLeast"/>
        <w:ind w:left="0" w:right="0" w:firstLine="640" w:firstLineChars="200"/>
        <w:jc w:val="both"/>
      </w:pPr>
      <w:r>
        <w:rPr>
          <w:rFonts w:hint="eastAsia" w:ascii="仿宋_GB2312" w:hAnsi="宋体" w:eastAsia="仿宋_GB2312" w:cs="仿宋_GB2312"/>
          <w:color w:val="000000"/>
          <w:sz w:val="32"/>
          <w:szCs w:val="32"/>
          <w:lang w:val="en-US" w:eastAsia="zh-CN"/>
        </w:rPr>
        <w:t>1.</w:t>
      </w:r>
      <w:r>
        <w:rPr>
          <w:rFonts w:ascii="仿宋_GB2312" w:hAnsi="宋体" w:eastAsia="仿宋_GB2312" w:cs="仿宋_GB2312"/>
          <w:color w:val="000000"/>
          <w:sz w:val="32"/>
          <w:szCs w:val="32"/>
        </w:rPr>
        <w:t>贯彻执行国家有关食品（含食品添加剂、保健食品，下同）安全、药品（含中药、民族药，下同）、医疗器械、化妆品监督管理的方针政策和法律法规；负责本部门依法行政工作，落实行政执法责任制；制定全市食品、药品、医疗器械、化妆品监督管理的意见，推动建立落实食品、药品、医疗器械、化妆品安全企业主体责任、各级人民政府分级负责的机制，建立食品药品重大信息直报制度，并组织实施和监督检查，着力防范区域性、系统性食品药品安全风险。在食品、药品、医疗器械、化妆品质量安全监管的职责范围内对食品、药品、医疗器械、化妆品生产经营等领域的安全生产工作实施监督管理，履行安全生产行业监督管理职责。</w:t>
      </w:r>
      <w:r>
        <w:rPr>
          <w:rFonts w:hint="default" w:ascii="仿宋_GB2312" w:hAnsi="宋体" w:eastAsia="仿宋_GB2312" w:cs="仿宋_GB2312"/>
          <w:color w:val="000000"/>
          <w:sz w:val="32"/>
          <w:szCs w:val="32"/>
        </w:rPr>
        <w:br w:type="textWrapping"/>
      </w:r>
      <w:r>
        <w:rPr>
          <w:rFonts w:hint="default" w:ascii="仿宋_GB2312" w:hAnsi="宋体" w:eastAsia="仿宋_GB2312" w:cs="仿宋_GB2312"/>
          <w:color w:val="000000"/>
          <w:sz w:val="32"/>
          <w:szCs w:val="32"/>
        </w:rPr>
        <w:t>　　</w:t>
      </w:r>
      <w:r>
        <w:rPr>
          <w:rFonts w:hint="eastAsia" w:ascii="仿宋_GB2312" w:hAnsi="宋体" w:eastAsia="仿宋_GB2312" w:cs="仿宋_GB2312"/>
          <w:color w:val="000000"/>
          <w:sz w:val="32"/>
          <w:szCs w:val="32"/>
          <w:lang w:val="en-US" w:eastAsia="zh-CN"/>
        </w:rPr>
        <w:t>2.</w:t>
      </w:r>
      <w:r>
        <w:rPr>
          <w:rFonts w:hint="default" w:ascii="仿宋_GB2312" w:hAnsi="宋体" w:eastAsia="仿宋_GB2312" w:cs="仿宋_GB2312"/>
          <w:color w:val="000000"/>
          <w:sz w:val="32"/>
          <w:szCs w:val="32"/>
        </w:rPr>
        <w:t>负责全市食品行政审批的监督实施。建立食品安全隐患排查治理机制，制定全市食品安全检查年度计划、重大整顿治理方案并组织落实。负责建立食品安全信息统一公布制度，公布重大食品安全信息。参与制定食品安全风险监测计划、食品安全地方标准，根据食品安全风险监测计划开展食品安全风险监测工作。</w:t>
      </w:r>
      <w:r>
        <w:rPr>
          <w:rFonts w:hint="eastAsia" w:ascii="宋体" w:hAnsi="宋体" w:eastAsia="宋体" w:cs="宋体"/>
          <w:sz w:val="24"/>
          <w:szCs w:val="24"/>
        </w:rPr>
        <w:t xml:space="preserve"> </w:t>
      </w:r>
    </w:p>
    <w:p>
      <w:pPr>
        <w:keepNext w:val="0"/>
        <w:keepLines w:val="0"/>
        <w:widowControl/>
        <w:suppressLineNumbers w:val="0"/>
        <w:shd w:val="clear" w:color="auto" w:fill="FFFFFF"/>
        <w:spacing w:before="0" w:beforeAutospacing="0" w:after="0" w:afterAutospacing="0" w:line="600" w:lineRule="atLeast"/>
        <w:ind w:left="0" w:right="0" w:firstLine="688"/>
        <w:jc w:val="both"/>
      </w:pPr>
      <w:r>
        <w:rPr>
          <w:rFonts w:hint="eastAsia" w:ascii="仿宋_GB2312" w:hAnsi="宋体" w:eastAsia="仿宋_GB2312" w:cs="仿宋_GB2312"/>
          <w:color w:val="000000"/>
          <w:kern w:val="0"/>
          <w:sz w:val="32"/>
          <w:szCs w:val="32"/>
          <w:shd w:val="clear" w:color="auto" w:fill="FFFFFF"/>
          <w:lang w:val="en-US" w:eastAsia="zh-CN" w:bidi="ar"/>
        </w:rPr>
        <w:t>3.</w:t>
      </w:r>
      <w:r>
        <w:rPr>
          <w:rFonts w:hint="default" w:ascii="仿宋_GB2312" w:hAnsi="宋体" w:eastAsia="仿宋_GB2312" w:cs="仿宋_GB2312"/>
          <w:color w:val="000000"/>
          <w:kern w:val="0"/>
          <w:sz w:val="32"/>
          <w:szCs w:val="32"/>
          <w:shd w:val="clear" w:color="auto" w:fill="FFFFFF"/>
          <w:lang w:val="en-US" w:eastAsia="zh-CN" w:bidi="ar"/>
        </w:rPr>
        <w:t>负责全市食盐生产经营质量安全管理与监督执法。</w:t>
      </w:r>
    </w:p>
    <w:p>
      <w:pPr>
        <w:keepNext w:val="0"/>
        <w:keepLines w:val="0"/>
        <w:widowControl/>
        <w:suppressLineNumbers w:val="0"/>
        <w:shd w:val="clear" w:color="auto" w:fill="FFFFFF"/>
        <w:spacing w:before="0" w:beforeAutospacing="0" w:after="0" w:afterAutospacing="0" w:line="600" w:lineRule="atLeast"/>
        <w:ind w:left="0" w:right="0" w:firstLine="688"/>
        <w:jc w:val="both"/>
      </w:pPr>
      <w:r>
        <w:rPr>
          <w:rFonts w:hint="eastAsia" w:ascii="仿宋_GB2312" w:hAnsi="宋体" w:eastAsia="仿宋_GB2312" w:cs="仿宋_GB2312"/>
          <w:color w:val="000000"/>
          <w:kern w:val="0"/>
          <w:sz w:val="32"/>
          <w:szCs w:val="32"/>
          <w:shd w:val="clear" w:color="auto" w:fill="FFFFFF"/>
          <w:lang w:val="en-US" w:eastAsia="zh-CN" w:bidi="ar"/>
        </w:rPr>
        <w:t>4.</w:t>
      </w:r>
      <w:r>
        <w:rPr>
          <w:rFonts w:hint="default" w:ascii="仿宋_GB2312" w:hAnsi="宋体" w:eastAsia="仿宋_GB2312" w:cs="仿宋_GB2312"/>
          <w:color w:val="000000"/>
          <w:kern w:val="0"/>
          <w:sz w:val="32"/>
          <w:szCs w:val="32"/>
          <w:shd w:val="clear" w:color="auto" w:fill="FFFFFF"/>
          <w:lang w:val="en-US" w:eastAsia="zh-CN" w:bidi="ar"/>
        </w:rPr>
        <w:t>监督实施全市药品和医疗器械的标准、分类管理制度，监督实施药品和医疗器械的研制、生产、经营、使用等质量管理规范，监督检查药品和医疗器械的注册工作。建立药品不良反应、医疗器械不良事件监测体系，并开展监测和处置工作。监督实施化妆品监督管理办法。参与制定我市基本药物目录内药品生产的鼓励扶持政策，配合实施国家基本药物制度。</w:t>
      </w:r>
      <w:r>
        <w:rPr>
          <w:rFonts w:hint="eastAsia" w:ascii="宋体" w:hAnsi="宋体" w:eastAsia="宋体" w:cs="宋体"/>
          <w:kern w:val="0"/>
          <w:sz w:val="24"/>
          <w:szCs w:val="24"/>
          <w:shd w:val="clear" w:color="auto" w:fill="FFFFFF"/>
          <w:lang w:val="en-US" w:eastAsia="zh-CN" w:bidi="ar"/>
        </w:rPr>
        <w:t xml:space="preserve"> </w:t>
      </w:r>
    </w:p>
    <w:p>
      <w:pPr>
        <w:keepNext w:val="0"/>
        <w:keepLines w:val="0"/>
        <w:widowControl/>
        <w:suppressLineNumbers w:val="0"/>
        <w:shd w:val="clear" w:color="auto" w:fill="FFFFFF"/>
        <w:spacing w:before="0" w:beforeAutospacing="0" w:after="0" w:afterAutospacing="0" w:line="600" w:lineRule="atLeast"/>
        <w:ind w:left="0" w:right="0"/>
        <w:jc w:val="both"/>
      </w:pPr>
      <w:r>
        <w:rPr>
          <w:rFonts w:hint="default" w:ascii="仿宋_GB2312" w:hAnsi="宋体" w:eastAsia="仿宋_GB2312" w:cs="仿宋_GB2312"/>
          <w:color w:val="000000"/>
          <w:kern w:val="0"/>
          <w:sz w:val="32"/>
          <w:szCs w:val="32"/>
          <w:shd w:val="clear" w:color="auto" w:fill="FFFFFF"/>
          <w:lang w:val="en-US" w:eastAsia="zh-CN" w:bidi="ar"/>
        </w:rPr>
        <w:t>　　</w:t>
      </w:r>
      <w:r>
        <w:rPr>
          <w:rFonts w:hint="eastAsia" w:ascii="仿宋_GB2312" w:hAnsi="宋体" w:eastAsia="仿宋_GB2312" w:cs="仿宋_GB2312"/>
          <w:color w:val="000000"/>
          <w:kern w:val="0"/>
          <w:sz w:val="32"/>
          <w:szCs w:val="32"/>
          <w:shd w:val="clear" w:color="auto" w:fill="FFFFFF"/>
          <w:lang w:val="en-US" w:eastAsia="zh-CN" w:bidi="ar"/>
        </w:rPr>
        <w:t>5.</w:t>
      </w:r>
      <w:r>
        <w:rPr>
          <w:rFonts w:hint="default" w:ascii="仿宋_GB2312" w:hAnsi="宋体" w:eastAsia="仿宋_GB2312" w:cs="仿宋_GB2312"/>
          <w:color w:val="000000"/>
          <w:kern w:val="0"/>
          <w:sz w:val="32"/>
          <w:szCs w:val="32"/>
          <w:shd w:val="clear" w:color="auto" w:fill="FFFFFF"/>
          <w:lang w:val="en-US" w:eastAsia="zh-CN" w:bidi="ar"/>
        </w:rPr>
        <w:t>组织实施食品、药品、医疗器械、化妆品监督管理的稽查制度，组织查处重大违法行为。负责不安全食品和存在安全隐患的药品、医疗器械、化妆品召回的监督管理。依法审查食品、药品、医疗器械、化妆品广告内容。</w:t>
      </w:r>
      <w:r>
        <w:rPr>
          <w:rFonts w:hint="default" w:ascii="仿宋_GB2312" w:hAnsi="宋体" w:eastAsia="仿宋_GB2312" w:cs="仿宋_GB2312"/>
          <w:color w:val="000000"/>
          <w:kern w:val="0"/>
          <w:sz w:val="32"/>
          <w:szCs w:val="32"/>
          <w:shd w:val="clear" w:color="auto" w:fill="FFFFFF"/>
          <w:lang w:val="en-US" w:eastAsia="zh-CN" w:bidi="ar"/>
        </w:rPr>
        <w:br w:type="textWrapping"/>
      </w:r>
      <w:r>
        <w:rPr>
          <w:rFonts w:hint="default" w:ascii="仿宋_GB2312" w:hAnsi="宋体" w:eastAsia="仿宋_GB2312" w:cs="仿宋_GB2312"/>
          <w:color w:val="000000"/>
          <w:kern w:val="0"/>
          <w:sz w:val="32"/>
          <w:szCs w:val="32"/>
          <w:shd w:val="clear" w:color="auto" w:fill="FFFFFF"/>
          <w:lang w:val="en-US" w:eastAsia="zh-CN" w:bidi="ar"/>
        </w:rPr>
        <w:t>　　</w:t>
      </w:r>
      <w:r>
        <w:rPr>
          <w:rFonts w:hint="eastAsia" w:ascii="仿宋_GB2312" w:hAnsi="宋体" w:eastAsia="仿宋_GB2312" w:cs="仿宋_GB2312"/>
          <w:color w:val="000000"/>
          <w:kern w:val="0"/>
          <w:sz w:val="32"/>
          <w:szCs w:val="32"/>
          <w:shd w:val="clear" w:color="auto" w:fill="FFFFFF"/>
          <w:lang w:val="en-US" w:eastAsia="zh-CN" w:bidi="ar"/>
        </w:rPr>
        <w:t>6.</w:t>
      </w:r>
      <w:r>
        <w:rPr>
          <w:rFonts w:hint="default" w:ascii="仿宋_GB2312" w:hAnsi="宋体" w:eastAsia="仿宋_GB2312" w:cs="仿宋_GB2312"/>
          <w:color w:val="000000"/>
          <w:kern w:val="0"/>
          <w:sz w:val="32"/>
          <w:szCs w:val="32"/>
          <w:shd w:val="clear" w:color="auto" w:fill="FFFFFF"/>
          <w:lang w:val="en-US" w:eastAsia="zh-CN" w:bidi="ar"/>
        </w:rPr>
        <w:t>负责食品、药品、医疗器械、化妆品安全事故应急体系建设，组织和指导食品、药品、医疗器械、化妆品安全事故应急处置和调查处理工作，监督事故查处落实情况。</w:t>
      </w:r>
      <w:r>
        <w:rPr>
          <w:rFonts w:hint="default" w:ascii="仿宋_GB2312" w:hAnsi="宋体" w:eastAsia="仿宋_GB2312" w:cs="仿宋_GB2312"/>
          <w:color w:val="000000"/>
          <w:kern w:val="0"/>
          <w:sz w:val="32"/>
          <w:szCs w:val="32"/>
          <w:shd w:val="clear" w:color="auto" w:fill="FFFFFF"/>
          <w:lang w:val="en-US" w:eastAsia="zh-CN" w:bidi="ar"/>
        </w:rPr>
        <w:br w:type="textWrapping"/>
      </w:r>
      <w:r>
        <w:rPr>
          <w:rFonts w:hint="default" w:ascii="仿宋_GB2312" w:hAnsi="宋体" w:eastAsia="仿宋_GB2312" w:cs="仿宋_GB2312"/>
          <w:color w:val="000000"/>
          <w:kern w:val="0"/>
          <w:sz w:val="32"/>
          <w:szCs w:val="32"/>
          <w:shd w:val="clear" w:color="auto" w:fill="FFFFFF"/>
          <w:lang w:val="en-US" w:eastAsia="zh-CN" w:bidi="ar"/>
        </w:rPr>
        <w:t>　　</w:t>
      </w:r>
      <w:r>
        <w:rPr>
          <w:rFonts w:hint="eastAsia" w:ascii="仿宋_GB2312" w:hAnsi="宋体" w:eastAsia="仿宋_GB2312" w:cs="仿宋_GB2312"/>
          <w:color w:val="000000"/>
          <w:kern w:val="0"/>
          <w:sz w:val="32"/>
          <w:szCs w:val="32"/>
          <w:shd w:val="clear" w:color="auto" w:fill="FFFFFF"/>
          <w:lang w:val="en-US" w:eastAsia="zh-CN" w:bidi="ar"/>
        </w:rPr>
        <w:t>7.</w:t>
      </w:r>
      <w:r>
        <w:rPr>
          <w:rFonts w:hint="default" w:ascii="仿宋_GB2312" w:hAnsi="宋体" w:eastAsia="仿宋_GB2312" w:cs="仿宋_GB2312"/>
          <w:color w:val="000000"/>
          <w:kern w:val="0"/>
          <w:sz w:val="32"/>
          <w:szCs w:val="32"/>
          <w:shd w:val="clear" w:color="auto" w:fill="FFFFFF"/>
          <w:lang w:val="en-US" w:eastAsia="zh-CN" w:bidi="ar"/>
        </w:rPr>
        <w:t>负责制定食品、药品、医疗器械、化妆品安全科技发展规划并组织实施，推动食品药品检验检测体系、电子监管追溯体系和信息化建设。</w:t>
      </w:r>
      <w:r>
        <w:rPr>
          <w:rFonts w:hint="default" w:ascii="仿宋_GB2312" w:hAnsi="宋体" w:eastAsia="仿宋_GB2312" w:cs="仿宋_GB2312"/>
          <w:color w:val="000000"/>
          <w:kern w:val="0"/>
          <w:sz w:val="32"/>
          <w:szCs w:val="32"/>
          <w:shd w:val="clear" w:color="auto" w:fill="FFFFFF"/>
          <w:lang w:val="en-US" w:eastAsia="zh-CN" w:bidi="ar"/>
        </w:rPr>
        <w:br w:type="textWrapping"/>
      </w:r>
      <w:r>
        <w:rPr>
          <w:rFonts w:hint="default" w:ascii="仿宋_GB2312" w:hAnsi="宋体" w:eastAsia="仿宋_GB2312" w:cs="仿宋_GB2312"/>
          <w:color w:val="000000"/>
          <w:kern w:val="0"/>
          <w:sz w:val="32"/>
          <w:szCs w:val="32"/>
          <w:shd w:val="clear" w:color="auto" w:fill="FFFFFF"/>
          <w:lang w:val="en-US" w:eastAsia="zh-CN" w:bidi="ar"/>
        </w:rPr>
        <w:t>　　</w:t>
      </w:r>
      <w:r>
        <w:rPr>
          <w:rFonts w:hint="eastAsia" w:ascii="仿宋_GB2312" w:hAnsi="宋体" w:eastAsia="仿宋_GB2312" w:cs="仿宋_GB2312"/>
          <w:color w:val="000000"/>
          <w:kern w:val="0"/>
          <w:sz w:val="32"/>
          <w:szCs w:val="32"/>
          <w:shd w:val="clear" w:color="auto" w:fill="FFFFFF"/>
          <w:lang w:val="en-US" w:eastAsia="zh-CN" w:bidi="ar"/>
        </w:rPr>
        <w:t>8.</w:t>
      </w:r>
      <w:r>
        <w:rPr>
          <w:rFonts w:hint="default" w:ascii="仿宋_GB2312" w:hAnsi="宋体" w:eastAsia="仿宋_GB2312" w:cs="仿宋_GB2312"/>
          <w:color w:val="000000"/>
          <w:kern w:val="0"/>
          <w:sz w:val="32"/>
          <w:szCs w:val="32"/>
          <w:shd w:val="clear" w:color="auto" w:fill="FFFFFF"/>
          <w:lang w:val="en-US" w:eastAsia="zh-CN" w:bidi="ar"/>
        </w:rPr>
        <w:t>负责开展食品、药品、医疗器械、化妆品安全宣传、教育培训、对外交流与合作。推进诚信体系建设。</w:t>
      </w:r>
      <w:r>
        <w:rPr>
          <w:rFonts w:hint="eastAsia" w:ascii="宋体" w:hAnsi="宋体" w:eastAsia="宋体" w:cs="宋体"/>
          <w:kern w:val="0"/>
          <w:sz w:val="24"/>
          <w:szCs w:val="24"/>
          <w:shd w:val="clear" w:color="auto" w:fill="FFFFFF"/>
          <w:lang w:val="en-US" w:eastAsia="zh-CN" w:bidi="ar"/>
        </w:rPr>
        <w:t xml:space="preserve"> </w:t>
      </w:r>
    </w:p>
    <w:p>
      <w:pPr>
        <w:keepNext w:val="0"/>
        <w:keepLines w:val="0"/>
        <w:widowControl/>
        <w:suppressLineNumbers w:val="0"/>
        <w:shd w:val="clear" w:color="auto" w:fill="FFFFFF"/>
        <w:spacing w:before="0" w:beforeAutospacing="0" w:after="0" w:afterAutospacing="0" w:line="600" w:lineRule="atLeast"/>
        <w:ind w:left="0" w:right="0"/>
        <w:jc w:val="both"/>
      </w:pPr>
      <w:r>
        <w:rPr>
          <w:rFonts w:hint="eastAsia" w:ascii="宋体" w:hAnsi="宋体" w:eastAsia="宋体" w:cs="宋体"/>
          <w:color w:val="000000"/>
          <w:kern w:val="0"/>
          <w:sz w:val="32"/>
          <w:szCs w:val="32"/>
          <w:shd w:val="clear" w:color="auto" w:fill="FFFFFF"/>
          <w:lang w:val="en-US" w:eastAsia="zh-CN" w:bidi="ar"/>
        </w:rPr>
        <w:t>  9.</w:t>
      </w:r>
      <w:r>
        <w:rPr>
          <w:rFonts w:hint="default" w:ascii="仿宋_GB2312" w:hAnsi="宋体" w:eastAsia="仿宋_GB2312" w:cs="仿宋_GB2312"/>
          <w:color w:val="000000"/>
          <w:kern w:val="0"/>
          <w:sz w:val="32"/>
          <w:szCs w:val="32"/>
          <w:shd w:val="clear" w:color="auto" w:fill="FFFFFF"/>
          <w:lang w:val="en-US" w:eastAsia="zh-CN" w:bidi="ar"/>
        </w:rPr>
        <w:t>指导督促药品食品生产经营企业在生产加工、回收销毁过程中落实环境保护主体责任，防止环境污染；指导督促餐饮服务单位加强环境保护，规范处置餐厨废弃物。</w:t>
      </w:r>
      <w:r>
        <w:rPr>
          <w:rFonts w:hint="eastAsia" w:ascii="宋体" w:hAnsi="宋体" w:eastAsia="宋体" w:cs="宋体"/>
          <w:kern w:val="0"/>
          <w:sz w:val="24"/>
          <w:szCs w:val="24"/>
          <w:shd w:val="clear" w:color="auto" w:fill="FFFFFF"/>
          <w:lang w:val="en-US" w:eastAsia="zh-CN" w:bidi="ar"/>
        </w:rPr>
        <w:t xml:space="preserve"> </w:t>
      </w:r>
    </w:p>
    <w:p>
      <w:pPr>
        <w:keepNext w:val="0"/>
        <w:keepLines w:val="0"/>
        <w:widowControl/>
        <w:suppressLineNumbers w:val="0"/>
        <w:shd w:val="clear" w:color="auto" w:fill="FFFFFF"/>
        <w:spacing w:before="0" w:beforeAutospacing="0" w:after="0" w:afterAutospacing="0" w:line="600" w:lineRule="atLeast"/>
        <w:ind w:left="0" w:right="0"/>
        <w:jc w:val="both"/>
      </w:pPr>
      <w:r>
        <w:rPr>
          <w:rFonts w:hint="eastAsia" w:ascii="宋体" w:hAnsi="宋体" w:eastAsia="宋体" w:cs="宋体"/>
          <w:color w:val="000000"/>
          <w:kern w:val="0"/>
          <w:sz w:val="32"/>
          <w:szCs w:val="32"/>
          <w:shd w:val="clear" w:color="auto" w:fill="FFFFFF"/>
          <w:lang w:val="en-US" w:eastAsia="zh-CN" w:bidi="ar"/>
        </w:rPr>
        <w:t>  </w:t>
      </w:r>
      <w:r>
        <w:rPr>
          <w:rFonts w:hint="eastAsia" w:ascii="仿宋_GB2312" w:hAnsi="宋体" w:eastAsia="仿宋_GB2312" w:cs="仿宋_GB2312"/>
          <w:color w:val="000000"/>
          <w:kern w:val="0"/>
          <w:sz w:val="32"/>
          <w:szCs w:val="32"/>
          <w:shd w:val="clear" w:color="auto" w:fill="FFFFFF"/>
          <w:lang w:val="en-US" w:eastAsia="zh-CN" w:bidi="ar"/>
        </w:rPr>
        <w:t>10.</w:t>
      </w:r>
      <w:r>
        <w:rPr>
          <w:rFonts w:hint="default" w:ascii="仿宋_GB2312" w:hAnsi="宋体" w:eastAsia="仿宋_GB2312" w:cs="仿宋_GB2312"/>
          <w:color w:val="000000"/>
          <w:kern w:val="0"/>
          <w:sz w:val="32"/>
          <w:szCs w:val="32"/>
          <w:shd w:val="clear" w:color="auto" w:fill="FFFFFF"/>
          <w:lang w:val="en-US" w:eastAsia="zh-CN" w:bidi="ar"/>
        </w:rPr>
        <w:t>指导（市、区）、科学城和市级园区食品药品监督管理工作，规范行政执法行为，完善行政执法与刑事司法衔接机制。</w:t>
      </w:r>
      <w:r>
        <w:rPr>
          <w:rFonts w:hint="default" w:ascii="仿宋_GB2312" w:hAnsi="宋体" w:eastAsia="仿宋_GB2312" w:cs="仿宋_GB2312"/>
          <w:color w:val="000000"/>
          <w:kern w:val="0"/>
          <w:sz w:val="32"/>
          <w:szCs w:val="32"/>
          <w:shd w:val="clear" w:color="auto" w:fill="FFFFFF"/>
          <w:lang w:val="en-US" w:eastAsia="zh-CN" w:bidi="ar"/>
        </w:rPr>
        <w:br w:type="textWrapping"/>
      </w:r>
      <w:r>
        <w:rPr>
          <w:rFonts w:hint="default" w:ascii="仿宋_GB2312" w:hAnsi="宋体" w:eastAsia="仿宋_GB2312" w:cs="仿宋_GB2312"/>
          <w:color w:val="000000"/>
          <w:kern w:val="0"/>
          <w:sz w:val="32"/>
          <w:szCs w:val="32"/>
          <w:shd w:val="clear" w:color="auto" w:fill="FFFFFF"/>
          <w:lang w:val="en-US" w:eastAsia="zh-CN" w:bidi="ar"/>
        </w:rPr>
        <w:t>　　</w:t>
      </w:r>
      <w:r>
        <w:rPr>
          <w:rFonts w:hint="eastAsia" w:ascii="仿宋_GB2312" w:hAnsi="宋体" w:eastAsia="仿宋_GB2312" w:cs="仿宋_GB2312"/>
          <w:color w:val="000000"/>
          <w:kern w:val="0"/>
          <w:sz w:val="32"/>
          <w:szCs w:val="32"/>
          <w:shd w:val="clear" w:color="auto" w:fill="FFFFFF"/>
          <w:lang w:val="en-US" w:eastAsia="zh-CN" w:bidi="ar"/>
        </w:rPr>
        <w:t>11.</w:t>
      </w:r>
      <w:r>
        <w:rPr>
          <w:rFonts w:hint="default" w:ascii="仿宋_GB2312" w:hAnsi="宋体" w:eastAsia="仿宋_GB2312" w:cs="仿宋_GB2312"/>
          <w:color w:val="000000"/>
          <w:kern w:val="0"/>
          <w:sz w:val="32"/>
          <w:szCs w:val="32"/>
          <w:shd w:val="clear" w:color="auto" w:fill="FFFFFF"/>
          <w:lang w:val="en-US" w:eastAsia="zh-CN" w:bidi="ar"/>
        </w:rPr>
        <w:t>承担市食品安全委员会日常工作。负责食品安全监督管理综合协调，推动健全协调联动机制。督促检查县（市、区）人民政府、科学城办事处、市级园区管委会履行食品安全监督管理职责并负责考核评价。</w:t>
      </w:r>
      <w:r>
        <w:rPr>
          <w:rFonts w:hint="default" w:ascii="仿宋_GB2312" w:hAnsi="宋体" w:eastAsia="仿宋_GB2312" w:cs="仿宋_GB2312"/>
          <w:color w:val="000000"/>
          <w:kern w:val="0"/>
          <w:sz w:val="32"/>
          <w:szCs w:val="32"/>
          <w:shd w:val="clear" w:color="auto" w:fill="FFFFFF"/>
          <w:lang w:val="en-US" w:eastAsia="zh-CN" w:bidi="ar"/>
        </w:rPr>
        <w:br w:type="textWrapping"/>
      </w:r>
      <w:r>
        <w:rPr>
          <w:rFonts w:hint="default" w:ascii="仿宋_GB2312" w:hAnsi="宋体" w:eastAsia="仿宋_GB2312" w:cs="仿宋_GB2312"/>
          <w:color w:val="000000"/>
          <w:kern w:val="0"/>
          <w:sz w:val="32"/>
          <w:szCs w:val="32"/>
          <w:shd w:val="clear" w:color="auto" w:fill="FFFFFF"/>
          <w:lang w:val="en-US" w:eastAsia="zh-CN" w:bidi="ar"/>
        </w:rPr>
        <w:t>　</w:t>
      </w:r>
      <w:r>
        <w:rPr>
          <w:rFonts w:hint="eastAsia" w:ascii="宋体" w:hAnsi="宋体" w:eastAsia="宋体" w:cs="宋体"/>
          <w:color w:val="000000"/>
          <w:kern w:val="0"/>
          <w:sz w:val="32"/>
          <w:szCs w:val="32"/>
          <w:shd w:val="clear" w:color="auto" w:fill="FFFFFF"/>
          <w:lang w:val="en-US" w:eastAsia="zh-CN" w:bidi="ar"/>
        </w:rPr>
        <w:t> </w:t>
      </w:r>
      <w:r>
        <w:rPr>
          <w:rFonts w:hint="eastAsia" w:ascii="仿宋_GB2312" w:hAnsi="宋体" w:eastAsia="仿宋_GB2312" w:cs="仿宋_GB2312"/>
          <w:color w:val="000000"/>
          <w:kern w:val="0"/>
          <w:sz w:val="32"/>
          <w:szCs w:val="32"/>
          <w:shd w:val="clear" w:color="auto" w:fill="FFFFFF"/>
          <w:lang w:val="en-US" w:eastAsia="zh-CN" w:bidi="ar"/>
        </w:rPr>
        <w:t>12.</w:t>
      </w:r>
      <w:r>
        <w:rPr>
          <w:rFonts w:hint="default" w:ascii="仿宋_GB2312" w:hAnsi="宋体" w:eastAsia="仿宋_GB2312" w:cs="仿宋_GB2312"/>
          <w:color w:val="000000"/>
          <w:kern w:val="0"/>
          <w:sz w:val="32"/>
          <w:szCs w:val="32"/>
          <w:shd w:val="clear" w:color="auto" w:fill="FFFFFF"/>
          <w:lang w:val="en-US" w:eastAsia="zh-CN" w:bidi="ar"/>
        </w:rPr>
        <w:t>承办市政府以及市食品安全委员会交办的其他事项。</w:t>
      </w:r>
      <w:r>
        <w:rPr>
          <w:rFonts w:hint="eastAsia" w:ascii="宋体" w:hAnsi="宋体" w:eastAsia="宋体" w:cs="宋体"/>
          <w:kern w:val="0"/>
          <w:sz w:val="24"/>
          <w:szCs w:val="24"/>
          <w:shd w:val="clear" w:color="auto" w:fill="FFFFFF"/>
          <w:lang w:val="en-US" w:eastAsia="zh-CN" w:bidi="ar"/>
        </w:rPr>
        <w:t xml:space="preserve"> </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2018</w:t>
      </w:r>
      <w:r>
        <w:rPr>
          <w:rFonts w:hint="eastAsia" w:ascii="仿宋" w:hAnsi="仿宋" w:eastAsia="仿宋"/>
          <w:bCs/>
          <w:color w:val="000000"/>
          <w:sz w:val="32"/>
          <w:szCs w:val="32"/>
        </w:rPr>
        <w:t>年重点工作完成情况。</w:t>
      </w:r>
      <w:bookmarkEnd w:id="18"/>
      <w:bookmarkEnd w:id="19"/>
    </w:p>
    <w:p>
      <w:pPr>
        <w:spacing w:line="600" w:lineRule="exact"/>
        <w:ind w:firstLine="640" w:firstLineChars="200"/>
        <w:rPr>
          <w:rFonts w:ascii="仿宋_GB2312" w:eastAsia="仿宋_GB2312"/>
          <w:sz w:val="32"/>
          <w:szCs w:val="32"/>
        </w:rPr>
      </w:pPr>
      <w:r>
        <w:rPr>
          <w:rFonts w:hint="eastAsia" w:ascii="仿宋_GB2312" w:hAnsi="黑体" w:eastAsia="仿宋_GB2312"/>
          <w:sz w:val="32"/>
          <w:szCs w:val="32"/>
        </w:rPr>
        <w:t>201</w:t>
      </w:r>
      <w:r>
        <w:rPr>
          <w:rFonts w:hint="eastAsia" w:ascii="仿宋_GB2312" w:hAnsi="黑体" w:eastAsia="仿宋_GB2312"/>
          <w:sz w:val="32"/>
          <w:szCs w:val="32"/>
          <w:lang w:val="en-US" w:eastAsia="zh-CN"/>
        </w:rPr>
        <w:t>8</w:t>
      </w:r>
      <w:r>
        <w:rPr>
          <w:rFonts w:hint="eastAsia" w:ascii="仿宋_GB2312" w:hAnsi="黑体" w:eastAsia="仿宋_GB2312"/>
          <w:sz w:val="32"/>
          <w:szCs w:val="32"/>
        </w:rPr>
        <w:t>年，</w:t>
      </w:r>
      <w:r>
        <w:rPr>
          <w:rFonts w:hint="eastAsia" w:ascii="仿宋_GB2312" w:eastAsia="仿宋_GB2312"/>
          <w:sz w:val="32"/>
          <w:szCs w:val="32"/>
        </w:rPr>
        <w:t>在市委、市政府的正确领导和市人大、政协的关心监督下，</w:t>
      </w:r>
      <w:r>
        <w:rPr>
          <w:rFonts w:hint="eastAsia" w:ascii="仿宋_GB2312" w:hAnsi="黑体" w:eastAsia="仿宋_GB2312"/>
          <w:sz w:val="32"/>
          <w:szCs w:val="32"/>
        </w:rPr>
        <w:t>我们严格落实全面从严治党要求，以争创“国家食品安全示范城市”为契机，切实落实“四有两责”，</w:t>
      </w:r>
      <w:r>
        <w:rPr>
          <w:rFonts w:hint="eastAsia" w:ascii="仿宋_GB2312" w:eastAsia="仿宋_GB2312"/>
          <w:sz w:val="32"/>
          <w:szCs w:val="32"/>
        </w:rPr>
        <w:t>运用“四个最严”依法监管，食品药品安全保障水平加快提升，</w:t>
      </w:r>
      <w:r>
        <w:rPr>
          <w:rFonts w:hint="eastAsia" w:ascii="仿宋_GB2312" w:hAnsi="仿宋" w:eastAsia="仿宋_GB2312"/>
          <w:color w:val="000000"/>
          <w:sz w:val="32"/>
          <w:szCs w:val="32"/>
        </w:rPr>
        <w:t>群众满意度和获得感</w:t>
      </w:r>
      <w:r>
        <w:rPr>
          <w:rFonts w:hint="eastAsia" w:ascii="仿宋_GB2312" w:hAnsi="仿宋" w:eastAsia="仿宋_GB2312"/>
          <w:color w:val="000000"/>
          <w:sz w:val="32"/>
          <w:szCs w:val="32"/>
          <w:lang w:eastAsia="zh-CN"/>
        </w:rPr>
        <w:t>不断提高</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2018</w:t>
      </w:r>
      <w:r>
        <w:rPr>
          <w:rFonts w:hint="eastAsia" w:ascii="仿宋_GB2312" w:hAnsi="仿宋" w:eastAsia="仿宋_GB2312"/>
          <w:color w:val="000000"/>
          <w:sz w:val="32"/>
          <w:szCs w:val="32"/>
          <w:lang w:eastAsia="zh-CN"/>
        </w:rPr>
        <w:t>年</w:t>
      </w:r>
      <w:r>
        <w:rPr>
          <w:rFonts w:hint="eastAsia" w:ascii="仿宋_GB2312" w:eastAsia="仿宋_GB2312"/>
          <w:sz w:val="32"/>
          <w:szCs w:val="32"/>
        </w:rPr>
        <w:t>全省食品药品监管系统政务服务优化行动</w:t>
      </w:r>
      <w:r>
        <w:rPr>
          <w:rFonts w:hint="eastAsia" w:ascii="仿宋_GB2312" w:eastAsia="仿宋_GB2312"/>
          <w:sz w:val="32"/>
          <w:szCs w:val="32"/>
          <w:lang w:eastAsia="zh-CN"/>
        </w:rPr>
        <w:t>、应急工作、三小备案等多项工作现场会相继在绵阳召开，</w:t>
      </w:r>
      <w:r>
        <w:rPr>
          <w:rFonts w:hint="eastAsia" w:ascii="仿宋_GB2312" w:eastAsia="仿宋_GB2312"/>
          <w:sz w:val="32"/>
          <w:szCs w:val="32"/>
        </w:rPr>
        <w:t>全市食品安全总体状况满意度</w:t>
      </w:r>
      <w:r>
        <w:rPr>
          <w:rFonts w:hint="eastAsia" w:ascii="仿宋_GB2312" w:eastAsia="仿宋_GB2312"/>
          <w:sz w:val="32"/>
          <w:szCs w:val="32"/>
          <w:lang w:eastAsia="zh-CN"/>
        </w:rPr>
        <w:t>多年</w:t>
      </w:r>
      <w:r>
        <w:rPr>
          <w:rFonts w:hint="eastAsia" w:ascii="仿宋_GB2312" w:eastAsia="仿宋_GB2312"/>
          <w:sz w:val="32"/>
          <w:szCs w:val="32"/>
        </w:rPr>
        <w:t>居全省第一，</w:t>
      </w:r>
      <w:r>
        <w:rPr>
          <w:rFonts w:hint="eastAsia" w:ascii="仿宋_GB2312" w:eastAsia="仿宋_GB2312"/>
          <w:color w:val="000000"/>
          <w:sz w:val="32"/>
          <w:szCs w:val="32"/>
        </w:rPr>
        <w:t>食品安全工作被省政府评为A级受到省食安委通报表扬</w:t>
      </w:r>
      <w:r>
        <w:rPr>
          <w:rFonts w:hint="eastAsia" w:ascii="仿宋_GB2312" w:eastAsia="仿宋_GB2312"/>
          <w:sz w:val="32"/>
          <w:szCs w:val="32"/>
        </w:rPr>
        <w:t>。</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1.夯实基础、落实</w:t>
      </w:r>
      <w:r>
        <w:rPr>
          <w:rFonts w:hint="eastAsia" w:ascii="仿宋_GB2312" w:hAnsi="Times New Roman" w:eastAsia="仿宋_GB2312" w:cs="Times New Roman"/>
          <w:sz w:val="32"/>
          <w:szCs w:val="32"/>
          <w:lang w:eastAsia="zh-CN"/>
        </w:rPr>
        <w:t>责任</w:t>
      </w:r>
      <w:r>
        <w:rPr>
          <w:rFonts w:hint="eastAsia" w:ascii="仿宋_GB2312" w:hAnsi="Times New Roman" w:eastAsia="仿宋_GB2312" w:cs="Times New Roman"/>
          <w:sz w:val="32"/>
          <w:szCs w:val="32"/>
        </w:rPr>
        <w:t>。市委、市政府高度重视食品药品安全工作，在全省率先出台《绵阳市食品安全“党政同责”暂行办法》</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将</w:t>
      </w:r>
      <w:r>
        <w:rPr>
          <w:rFonts w:hint="eastAsia" w:ascii="仿宋_GB2312" w:hAnsi="Times New Roman" w:eastAsia="仿宋_GB2312" w:cs="Times New Roman"/>
          <w:sz w:val="32"/>
          <w:szCs w:val="32"/>
          <w:lang w:eastAsia="zh-CN"/>
        </w:rPr>
        <w:t>食品药品安全</w:t>
      </w:r>
      <w:r>
        <w:rPr>
          <w:rFonts w:hint="eastAsia" w:ascii="仿宋_GB2312" w:hAnsi="Times New Roman" w:eastAsia="仿宋_GB2312" w:cs="Times New Roman"/>
          <w:sz w:val="32"/>
          <w:szCs w:val="32"/>
        </w:rPr>
        <w:t>纳入各县（市、区）政府目标考核且权重达3%。在全面完成县级食品药品监管机构改革后，出台了《基层监管所规范化建设验收操作细则》，加快推进基层监管网底建设，确保基层食品药品监管做到“四有</w:t>
      </w:r>
      <w:r>
        <w:rPr>
          <w:rFonts w:hint="eastAsia" w:ascii="仿宋_GB2312" w:hAnsi="Times New Roman" w:eastAsia="仿宋_GB2312" w:cs="Times New Roman"/>
          <w:sz w:val="32"/>
          <w:szCs w:val="32"/>
          <w:lang w:eastAsia="zh-CN"/>
        </w:rPr>
        <w:t>两责</w:t>
      </w:r>
      <w:r>
        <w:rPr>
          <w:rFonts w:hint="eastAsia" w:ascii="仿宋_GB2312" w:hAnsi="Times New Roman" w:eastAsia="仿宋_GB2312" w:cs="Times New Roman"/>
          <w:sz w:val="32"/>
          <w:szCs w:val="32"/>
        </w:rPr>
        <w:t>”。</w:t>
      </w:r>
      <w:r>
        <w:rPr>
          <w:rFonts w:hint="eastAsia" w:ascii="仿宋_GB2312" w:eastAsia="仿宋_GB2312" w:cs="Times New Roman"/>
          <w:sz w:val="32"/>
          <w:szCs w:val="32"/>
          <w:lang w:val="en-US" w:eastAsia="zh-CN"/>
        </w:rPr>
        <w:t>2018年</w:t>
      </w:r>
      <w:r>
        <w:rPr>
          <w:rFonts w:hint="eastAsia" w:ascii="仿宋_GB2312" w:hAnsi="Times New Roman" w:eastAsia="仿宋_GB2312" w:cs="Times New Roman"/>
          <w:sz w:val="32"/>
          <w:szCs w:val="32"/>
        </w:rPr>
        <w:t>，全市有食品药品监管编制1211个，实有监管人员1108人</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全市9个县市区均已配备食品快检车，88个基层监管所标准化建设验收合格率达100%，其中具有车辆编制的83个所执法车配备率100%</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并</w:t>
      </w:r>
      <w:r>
        <w:rPr>
          <w:rFonts w:hint="eastAsia" w:ascii="仿宋_GB2312" w:hAnsi="Times New Roman" w:eastAsia="仿宋_GB2312" w:cs="Times New Roman"/>
          <w:sz w:val="32"/>
          <w:szCs w:val="32"/>
          <w:lang w:eastAsia="zh-CN"/>
        </w:rPr>
        <w:t>先后</w:t>
      </w:r>
      <w:r>
        <w:rPr>
          <w:rFonts w:hint="eastAsia" w:ascii="仿宋_GB2312" w:hAnsi="Times New Roman" w:eastAsia="仿宋_GB2312" w:cs="Times New Roman"/>
          <w:sz w:val="32"/>
          <w:szCs w:val="32"/>
        </w:rPr>
        <w:t>争取到国家、省支持</w:t>
      </w:r>
      <w:r>
        <w:rPr>
          <w:rFonts w:hint="eastAsia" w:ascii="仿宋_GB2312" w:hAnsi="Times New Roman" w:eastAsia="仿宋_GB2312" w:cs="Times New Roman"/>
          <w:sz w:val="32"/>
          <w:szCs w:val="32"/>
          <w:lang w:val="en-US" w:eastAsia="zh-CN"/>
        </w:rPr>
        <w:t>8千</w:t>
      </w:r>
      <w:r>
        <w:rPr>
          <w:rFonts w:hint="eastAsia" w:ascii="仿宋_GB2312" w:hAnsi="Times New Roman" w:eastAsia="仿宋_GB2312" w:cs="Times New Roman"/>
          <w:sz w:val="32"/>
          <w:szCs w:val="32"/>
        </w:rPr>
        <w:t>余</w:t>
      </w:r>
      <w:r>
        <w:rPr>
          <w:rFonts w:hint="eastAsia" w:ascii="仿宋_GB2312" w:hAnsi="Times New Roman" w:eastAsia="仿宋_GB2312" w:cs="Times New Roman"/>
          <w:sz w:val="32"/>
          <w:szCs w:val="32"/>
          <w:lang w:eastAsia="zh-CN"/>
        </w:rPr>
        <w:t>万</w:t>
      </w:r>
      <w:r>
        <w:rPr>
          <w:rFonts w:hint="eastAsia" w:ascii="仿宋_GB2312" w:hAnsi="Times New Roman" w:eastAsia="仿宋_GB2312" w:cs="Times New Roman"/>
          <w:sz w:val="32"/>
          <w:szCs w:val="32"/>
        </w:rPr>
        <w:t>元检验检测能力建设资金用于市食品药品检验所食品检验检测项目和平武区域性食品检验检测中心建设</w:t>
      </w:r>
      <w:r>
        <w:rPr>
          <w:rFonts w:hint="eastAsia" w:ascii="仿宋_GB2312" w:hAnsi="Times New Roman" w:eastAsia="仿宋_GB2312" w:cs="Times New Roman"/>
          <w:sz w:val="32"/>
          <w:szCs w:val="32"/>
          <w:lang w:eastAsia="zh-CN"/>
        </w:rPr>
        <w:t>，全部通过验收。</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2.突出重点、严</w:t>
      </w:r>
      <w:r>
        <w:rPr>
          <w:rFonts w:hint="eastAsia" w:ascii="仿宋_GB2312" w:hAnsi="Times New Roman" w:eastAsia="仿宋_GB2312" w:cs="Times New Roman"/>
          <w:sz w:val="32"/>
          <w:szCs w:val="32"/>
          <w:lang w:eastAsia="zh-CN"/>
        </w:rPr>
        <w:t>控风险</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按照</w:t>
      </w:r>
      <w:r>
        <w:rPr>
          <w:rFonts w:hint="eastAsia" w:ascii="仿宋_GB2312" w:hAnsi="Times New Roman" w:eastAsia="仿宋_GB2312" w:cs="Times New Roman"/>
          <w:sz w:val="32"/>
          <w:szCs w:val="32"/>
        </w:rPr>
        <w:t>市委办、市政府办印发</w:t>
      </w:r>
      <w:r>
        <w:rPr>
          <w:rFonts w:hint="eastAsia" w:ascii="仿宋_GB2312" w:hAnsi="Times New Roman" w:eastAsia="仿宋_GB2312" w:cs="Times New Roman"/>
          <w:sz w:val="32"/>
          <w:szCs w:val="32"/>
          <w:lang w:eastAsia="zh-CN"/>
        </w:rPr>
        <w:t>的</w:t>
      </w:r>
      <w:r>
        <w:rPr>
          <w:rFonts w:hint="eastAsia" w:ascii="仿宋_GB2312" w:hAnsi="Times New Roman" w:eastAsia="仿宋_GB2312" w:cs="Times New Roman"/>
          <w:sz w:val="32"/>
          <w:szCs w:val="32"/>
        </w:rPr>
        <w:t>《绵阳市防范化解食品药品安全风险工作方案》，各级党委、政府牵头组织认真开展食品药品风险隐患排查整治。针对食品药品产业实际进行重点调研，梳理出17个食品药品关键风险点，明确40条具体防控措施，形成了《绵阳市防范化解食品药品安全风险清单》</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全面排查潜在的风险隐患，建立全市风险点台账并逐项对标整治销号。</w:t>
      </w:r>
      <w:r>
        <w:rPr>
          <w:rFonts w:hint="eastAsia" w:ascii="仿宋_GB2312" w:hAnsi="Times New Roman" w:eastAsia="仿宋_GB2312" w:cs="Times New Roman"/>
          <w:sz w:val="32"/>
          <w:szCs w:val="32"/>
        </w:rPr>
        <w:t>坚持问题导向，突出靶向</w:t>
      </w:r>
      <w:r>
        <w:rPr>
          <w:rFonts w:hint="eastAsia" w:ascii="仿宋_GB2312" w:hAnsi="Times New Roman" w:eastAsia="仿宋_GB2312" w:cs="Times New Roman"/>
          <w:sz w:val="32"/>
          <w:szCs w:val="32"/>
          <w:lang w:eastAsia="zh-CN"/>
        </w:rPr>
        <w:t>抽检，</w:t>
      </w:r>
      <w:r>
        <w:rPr>
          <w:rFonts w:hint="eastAsia" w:ascii="仿宋_GB2312" w:eastAsia="仿宋_GB2312" w:cs="Times New Roman"/>
          <w:sz w:val="32"/>
          <w:szCs w:val="32"/>
          <w:lang w:val="en-US" w:eastAsia="zh-CN"/>
        </w:rPr>
        <w:t>2018年</w:t>
      </w:r>
      <w:r>
        <w:rPr>
          <w:rFonts w:hint="eastAsia" w:ascii="仿宋_GB2312" w:hAnsi="Times New Roman" w:eastAsia="仿宋_GB2312" w:cs="Times New Roman"/>
          <w:sz w:val="32"/>
          <w:szCs w:val="32"/>
        </w:rPr>
        <w:t>省抽食品</w:t>
      </w:r>
      <w:r>
        <w:rPr>
          <w:rFonts w:hint="eastAsia" w:ascii="仿宋_GB2312" w:hAnsi="Times New Roman" w:eastAsia="仿宋_GB2312" w:cs="Times New Roman"/>
          <w:sz w:val="32"/>
          <w:szCs w:val="32"/>
          <w:lang w:eastAsia="zh-CN"/>
        </w:rPr>
        <w:t>任务</w:t>
      </w:r>
      <w:r>
        <w:rPr>
          <w:rFonts w:hint="eastAsia" w:ascii="仿宋_GB2312" w:hAnsi="Times New Roman" w:eastAsia="仿宋_GB2312" w:cs="Times New Roman"/>
          <w:sz w:val="32"/>
          <w:szCs w:val="32"/>
          <w:lang w:val="en-US" w:eastAsia="zh-CN"/>
        </w:rPr>
        <w:t>908批次、</w:t>
      </w:r>
      <w:r>
        <w:rPr>
          <w:rFonts w:hint="eastAsia" w:ascii="仿宋_GB2312" w:hAnsi="Times New Roman" w:eastAsia="仿宋_GB2312" w:cs="Times New Roman"/>
          <w:sz w:val="32"/>
          <w:szCs w:val="32"/>
          <w:lang w:eastAsia="zh-CN"/>
        </w:rPr>
        <w:t>省抽</w:t>
      </w:r>
      <w:r>
        <w:rPr>
          <w:rFonts w:hint="eastAsia" w:ascii="仿宋_GB2312" w:hAnsi="Times New Roman" w:eastAsia="仿宋_GB2312" w:cs="Times New Roman"/>
          <w:sz w:val="32"/>
          <w:szCs w:val="32"/>
        </w:rPr>
        <w:t>药品任务</w:t>
      </w:r>
      <w:r>
        <w:rPr>
          <w:rFonts w:hint="eastAsia" w:ascii="仿宋_GB2312" w:hAnsi="Times New Roman" w:eastAsia="仿宋_GB2312" w:cs="Times New Roman"/>
          <w:sz w:val="32"/>
          <w:szCs w:val="32"/>
          <w:lang w:val="en-US" w:eastAsia="zh-CN"/>
        </w:rPr>
        <w:t>842</w:t>
      </w:r>
      <w:r>
        <w:rPr>
          <w:rFonts w:hint="eastAsia" w:ascii="仿宋_GB2312" w:hAnsi="Times New Roman" w:eastAsia="仿宋_GB2312" w:cs="Times New Roman"/>
          <w:sz w:val="32"/>
          <w:szCs w:val="32"/>
        </w:rPr>
        <w:t>批次</w:t>
      </w:r>
      <w:r>
        <w:rPr>
          <w:rFonts w:hint="eastAsia" w:ascii="仿宋_GB2312" w:hAnsi="Times New Roman" w:eastAsia="仿宋_GB2312" w:cs="Times New Roman"/>
          <w:sz w:val="32"/>
          <w:szCs w:val="32"/>
          <w:lang w:eastAsia="zh-CN"/>
        </w:rPr>
        <w:t>、省抽医疗器械</w:t>
      </w:r>
      <w:r>
        <w:rPr>
          <w:rFonts w:hint="eastAsia" w:ascii="仿宋_GB2312" w:hAnsi="Times New Roman" w:eastAsia="仿宋_GB2312" w:cs="Times New Roman"/>
          <w:sz w:val="32"/>
          <w:szCs w:val="32"/>
        </w:rPr>
        <w:t>任务</w:t>
      </w:r>
      <w:r>
        <w:rPr>
          <w:rFonts w:hint="eastAsia" w:ascii="仿宋_GB2312" w:hAnsi="Times New Roman" w:eastAsia="仿宋_GB2312" w:cs="Times New Roman"/>
          <w:sz w:val="32"/>
          <w:szCs w:val="32"/>
          <w:lang w:val="en-US" w:eastAsia="zh-CN"/>
        </w:rPr>
        <w:t>47</w:t>
      </w:r>
      <w:r>
        <w:rPr>
          <w:rFonts w:hint="eastAsia" w:ascii="仿宋_GB2312" w:hAnsi="Times New Roman" w:eastAsia="仿宋_GB2312" w:cs="Times New Roman"/>
          <w:sz w:val="32"/>
          <w:szCs w:val="32"/>
        </w:rPr>
        <w:t>批次</w:t>
      </w:r>
      <w:r>
        <w:rPr>
          <w:rFonts w:hint="eastAsia" w:ascii="仿宋_GB2312" w:hAnsi="Times New Roman" w:eastAsia="仿宋_GB2312" w:cs="Times New Roman"/>
          <w:sz w:val="32"/>
          <w:szCs w:val="32"/>
          <w:lang w:eastAsia="zh-CN"/>
        </w:rPr>
        <w:t>、省抽</w:t>
      </w:r>
      <w:r>
        <w:rPr>
          <w:rFonts w:hint="eastAsia" w:ascii="仿宋_GB2312" w:hAnsi="Times New Roman" w:eastAsia="仿宋_GB2312" w:cs="Times New Roman"/>
          <w:sz w:val="32"/>
          <w:szCs w:val="32"/>
        </w:rPr>
        <w:t>化妆品</w:t>
      </w:r>
      <w:r>
        <w:rPr>
          <w:rFonts w:hint="eastAsia" w:ascii="仿宋_GB2312" w:hAnsi="Times New Roman" w:eastAsia="仿宋_GB2312" w:cs="Times New Roman"/>
          <w:sz w:val="32"/>
          <w:szCs w:val="32"/>
          <w:lang w:eastAsia="zh-CN"/>
        </w:rPr>
        <w:t>任务</w:t>
      </w:r>
      <w:r>
        <w:rPr>
          <w:rFonts w:hint="eastAsia" w:ascii="仿宋_GB2312" w:hAnsi="Times New Roman" w:eastAsia="仿宋_GB2312" w:cs="Times New Roman"/>
          <w:sz w:val="32"/>
          <w:szCs w:val="32"/>
        </w:rPr>
        <w:t>25批次</w:t>
      </w:r>
      <w:r>
        <w:rPr>
          <w:rFonts w:hint="eastAsia" w:ascii="仿宋_GB2312" w:hAnsi="Times New Roman" w:eastAsia="仿宋_GB2312" w:cs="Times New Roman"/>
          <w:sz w:val="32"/>
          <w:szCs w:val="32"/>
          <w:lang w:eastAsia="zh-CN"/>
        </w:rPr>
        <w:t>任务完成率均达</w:t>
      </w:r>
      <w:r>
        <w:rPr>
          <w:rFonts w:hint="eastAsia" w:ascii="仿宋_GB2312" w:hAnsi="Times New Roman" w:eastAsia="仿宋_GB2312" w:cs="Times New Roman"/>
          <w:sz w:val="32"/>
          <w:szCs w:val="32"/>
          <w:lang w:val="en-US" w:eastAsia="zh-CN"/>
        </w:rPr>
        <w:t>100%，</w:t>
      </w:r>
      <w:r>
        <w:rPr>
          <w:rFonts w:hint="eastAsia" w:ascii="仿宋_GB2312" w:hAnsi="Times New Roman" w:eastAsia="仿宋_GB2312" w:cs="Times New Roman"/>
          <w:sz w:val="32"/>
          <w:szCs w:val="32"/>
          <w:lang w:eastAsia="zh-CN"/>
        </w:rPr>
        <w:t>全市</w:t>
      </w:r>
      <w:r>
        <w:rPr>
          <w:rFonts w:hint="eastAsia" w:ascii="仿宋_GB2312" w:hAnsi="Times New Roman" w:eastAsia="仿宋_GB2312" w:cs="Times New Roman"/>
          <w:sz w:val="32"/>
          <w:szCs w:val="32"/>
        </w:rPr>
        <w:t>共抽检食品药品</w:t>
      </w:r>
      <w:r>
        <w:rPr>
          <w:rFonts w:hint="eastAsia" w:ascii="仿宋_GB2312" w:hAnsi="Times New Roman" w:eastAsia="仿宋_GB2312" w:cs="Times New Roman"/>
          <w:sz w:val="32"/>
          <w:szCs w:val="32"/>
          <w:lang w:val="en-US" w:eastAsia="zh-CN"/>
        </w:rPr>
        <w:t>12398</w:t>
      </w:r>
      <w:r>
        <w:rPr>
          <w:rFonts w:hint="eastAsia" w:ascii="仿宋_GB2312" w:hAnsi="Times New Roman" w:eastAsia="仿宋_GB2312" w:cs="Times New Roman"/>
          <w:sz w:val="32"/>
          <w:szCs w:val="32"/>
        </w:rPr>
        <w:t>批次</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不断健全应急预案体系，建立和完善了综合协调、应急处置、舆情监测、应急值守及突发事件信息报告制度。</w:t>
      </w:r>
      <w:r>
        <w:rPr>
          <w:rFonts w:hint="eastAsia" w:ascii="仿宋_GB2312" w:hAnsi="Times New Roman" w:eastAsia="仿宋_GB2312" w:cs="Times New Roman"/>
          <w:sz w:val="32"/>
          <w:szCs w:val="32"/>
          <w:lang w:val="zh-CN"/>
        </w:rPr>
        <w:t>建立了舆情处置台帐，实行挂号销号制度，对蓝色以上舆情进行重点督查、督办。</w:t>
      </w:r>
      <w:r>
        <w:rPr>
          <w:rFonts w:hint="eastAsia" w:ascii="仿宋_GB2312" w:hAnsi="Times New Roman" w:eastAsia="仿宋_GB2312" w:cs="Times New Roman"/>
          <w:sz w:val="32"/>
          <w:szCs w:val="32"/>
          <w:lang w:eastAsia="zh-CN"/>
        </w:rPr>
        <w:t>牵头建立了绵阳市应急医药物资储备库，</w:t>
      </w:r>
      <w:r>
        <w:rPr>
          <w:rFonts w:hint="eastAsia" w:ascii="仿宋_GB2312" w:hAnsi="Times New Roman" w:eastAsia="仿宋_GB2312" w:cs="Times New Roman"/>
          <w:sz w:val="32"/>
          <w:szCs w:val="32"/>
          <w:lang w:val="en-US" w:eastAsia="zh-CN"/>
        </w:rPr>
        <w:t>两家承储企业共储存应急药品190个、医疗器械352个品种，总价值2700万元。</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网格监管</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专项治理。</w:t>
      </w:r>
      <w:r>
        <w:rPr>
          <w:rFonts w:hint="eastAsia" w:ascii="仿宋_GB2312" w:hAnsi="Times New Roman" w:eastAsia="仿宋_GB2312" w:cs="Times New Roman"/>
          <w:sz w:val="32"/>
          <w:szCs w:val="32"/>
        </w:rPr>
        <w:t>全市设立的88个基层监管所，覆盖辐射292个乡镇（街道），落实“一专三员”（安全监管专责，联络员、协管员、信息员）并严格履职，市、县、乡、村四级监管网格体系基本建成，有效解决服务群众“最后一公里”的问题。</w:t>
      </w:r>
      <w:r>
        <w:rPr>
          <w:rFonts w:hint="eastAsia" w:ascii="仿宋_GB2312" w:hAnsi="Times New Roman" w:eastAsia="仿宋_GB2312" w:cs="Times New Roman"/>
          <w:sz w:val="32"/>
          <w:szCs w:val="32"/>
          <w:lang w:val="zh-CN"/>
        </w:rPr>
        <w:t>深入开展群众密切关注的婴幼儿配方乳粉、茶叶、白酒、畜禽水产品等重点品种的整治，</w:t>
      </w:r>
      <w:r>
        <w:rPr>
          <w:rFonts w:hint="eastAsia" w:ascii="仿宋_GB2312" w:hAnsi="Times New Roman" w:eastAsia="仿宋_GB2312" w:cs="Times New Roman"/>
          <w:sz w:val="32"/>
          <w:szCs w:val="32"/>
        </w:rPr>
        <w:t>分类细化开展</w:t>
      </w:r>
      <w:r>
        <w:rPr>
          <w:rFonts w:hint="eastAsia" w:ascii="仿宋_GB2312" w:hAnsi="Times New Roman" w:eastAsia="仿宋_GB2312" w:cs="Times New Roman"/>
          <w:sz w:val="32"/>
          <w:szCs w:val="32"/>
          <w:lang w:eastAsia="zh-CN"/>
        </w:rPr>
        <w:t>校园及周边五毛食品</w:t>
      </w:r>
      <w:r>
        <w:rPr>
          <w:rFonts w:hint="eastAsia" w:ascii="仿宋_GB2312" w:hAnsi="Times New Roman" w:eastAsia="仿宋_GB2312" w:cs="Times New Roman"/>
          <w:sz w:val="32"/>
          <w:szCs w:val="32"/>
        </w:rPr>
        <w:t>、保健食品、</w:t>
      </w:r>
      <w:r>
        <w:rPr>
          <w:rFonts w:hint="eastAsia" w:ascii="仿宋_GB2312" w:hAnsi="Times New Roman" w:eastAsia="仿宋_GB2312" w:cs="Times New Roman"/>
          <w:sz w:val="32"/>
          <w:szCs w:val="32"/>
          <w:lang w:val="en-US" w:eastAsia="zh-CN"/>
        </w:rPr>
        <w:t>网络订餐、地沟油、</w:t>
      </w:r>
      <w:r>
        <w:rPr>
          <w:rFonts w:hint="eastAsia" w:ascii="仿宋_GB2312" w:hAnsi="Times New Roman" w:eastAsia="仿宋_GB2312" w:cs="Times New Roman"/>
          <w:sz w:val="32"/>
          <w:szCs w:val="32"/>
        </w:rPr>
        <w:t>中药饮片质量</w:t>
      </w:r>
      <w:r>
        <w:rPr>
          <w:rFonts w:hint="eastAsia" w:ascii="仿宋_GB2312" w:hAnsi="Times New Roman" w:eastAsia="仿宋_GB2312" w:cs="Times New Roman"/>
          <w:sz w:val="32"/>
          <w:szCs w:val="32"/>
          <w:lang w:eastAsia="zh-CN"/>
        </w:rPr>
        <w:t>、非洲猪瘟</w:t>
      </w:r>
      <w:r>
        <w:rPr>
          <w:rFonts w:hint="eastAsia" w:ascii="仿宋_GB2312" w:hAnsi="Times New Roman" w:eastAsia="仿宋_GB2312" w:cs="Times New Roman"/>
          <w:sz w:val="32"/>
          <w:szCs w:val="32"/>
        </w:rPr>
        <w:t>等1</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项专项整治</w:t>
      </w:r>
      <w:r>
        <w:rPr>
          <w:rFonts w:hint="eastAsia" w:ascii="仿宋_GB2312" w:hAnsi="Times New Roman" w:eastAsia="仿宋_GB2312" w:cs="Times New Roman"/>
          <w:sz w:val="32"/>
          <w:szCs w:val="32"/>
          <w:lang w:eastAsia="zh-CN"/>
        </w:rPr>
        <w:t>行动。采取“双随机</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双检查</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一回访</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一公开”的方式，对全市食品药品领域进行随机抽查，有效保障了执法的公正、专业、全面。</w:t>
      </w:r>
      <w:r>
        <w:rPr>
          <w:rFonts w:hint="eastAsia" w:ascii="仿宋_GB2312" w:hAnsi="Times New Roman" w:eastAsia="仿宋_GB2312" w:cs="Times New Roman"/>
          <w:sz w:val="32"/>
          <w:szCs w:val="32"/>
          <w:lang w:eastAsia="zh-CN"/>
        </w:rPr>
        <w:t>专项整治中</w:t>
      </w:r>
      <w:r>
        <w:rPr>
          <w:rFonts w:hint="eastAsia" w:ascii="仿宋_GB2312" w:hAnsi="Times New Roman" w:eastAsia="仿宋_GB2312" w:cs="Times New Roman"/>
          <w:sz w:val="32"/>
          <w:szCs w:val="32"/>
          <w:lang w:val="en-US" w:eastAsia="zh-CN"/>
        </w:rPr>
        <w:t>关停不合规屠宰场点237家，</w:t>
      </w:r>
      <w:r>
        <w:rPr>
          <w:rFonts w:hint="default" w:ascii="仿宋_GB2312" w:hAnsi="Times New Roman" w:eastAsia="仿宋_GB2312" w:cs="Times New Roman"/>
          <w:sz w:val="32"/>
          <w:szCs w:val="32"/>
          <w:lang w:val="en-US" w:eastAsia="zh-CN"/>
        </w:rPr>
        <w:t>收缴</w:t>
      </w:r>
      <w:r>
        <w:rPr>
          <w:rFonts w:hint="eastAsia" w:ascii="仿宋_GB2312" w:hAnsi="Times New Roman" w:eastAsia="仿宋_GB2312" w:cs="Times New Roman"/>
          <w:sz w:val="32"/>
          <w:szCs w:val="32"/>
          <w:lang w:val="en-US" w:eastAsia="zh-CN"/>
        </w:rPr>
        <w:t>保健食品</w:t>
      </w:r>
      <w:r>
        <w:rPr>
          <w:rFonts w:hint="default" w:ascii="仿宋_GB2312" w:hAnsi="Times New Roman" w:eastAsia="仿宋_GB2312" w:cs="Times New Roman"/>
          <w:sz w:val="32"/>
          <w:szCs w:val="32"/>
          <w:lang w:val="en-US" w:eastAsia="zh-CN"/>
        </w:rPr>
        <w:t>虚假宣传资料6500余份，</w:t>
      </w:r>
      <w:r>
        <w:rPr>
          <w:rFonts w:hint="eastAsia" w:ascii="仿宋_GB2312" w:hAnsi="Times New Roman" w:eastAsia="仿宋_GB2312" w:cs="Times New Roman"/>
          <w:sz w:val="32"/>
          <w:szCs w:val="32"/>
          <w:lang w:val="en-US" w:eastAsia="zh-CN"/>
        </w:rPr>
        <w:t>药品化妆品医疗器械</w:t>
      </w:r>
      <w:r>
        <w:rPr>
          <w:rFonts w:hint="eastAsia" w:ascii="仿宋_GB2312" w:hAnsi="Times New Roman" w:eastAsia="仿宋_GB2312" w:cs="Times New Roman"/>
          <w:sz w:val="32"/>
          <w:szCs w:val="32"/>
        </w:rPr>
        <w:t>监督注销（吊销）《药品经营许可证》</w:t>
      </w:r>
      <w:r>
        <w:rPr>
          <w:rFonts w:hint="eastAsia" w:ascii="仿宋_GB2312" w:hAnsi="Times New Roman" w:eastAsia="仿宋_GB2312" w:cs="Times New Roman"/>
          <w:sz w:val="32"/>
          <w:szCs w:val="32"/>
          <w:lang w:val="en-US" w:eastAsia="zh-CN"/>
        </w:rPr>
        <w:t>74</w:t>
      </w:r>
      <w:r>
        <w:rPr>
          <w:rFonts w:hint="eastAsia" w:ascii="仿宋_GB2312" w:hAnsi="Times New Roman" w:eastAsia="仿宋_GB2312" w:cs="Times New Roman"/>
          <w:sz w:val="32"/>
          <w:szCs w:val="32"/>
        </w:rPr>
        <w:t>家，撤销《GSP证书》</w:t>
      </w:r>
      <w:r>
        <w:rPr>
          <w:rFonts w:hint="eastAsia" w:ascii="仿宋_GB2312" w:hAnsi="Times New Roman" w:eastAsia="仿宋_GB2312" w:cs="Times New Roman"/>
          <w:sz w:val="32"/>
          <w:szCs w:val="32"/>
          <w:lang w:val="en-US" w:eastAsia="zh-CN"/>
        </w:rPr>
        <w:t>38</w:t>
      </w:r>
      <w:r>
        <w:rPr>
          <w:rFonts w:hint="eastAsia" w:ascii="仿宋_GB2312" w:hAnsi="Times New Roman" w:eastAsia="仿宋_GB2312" w:cs="Times New Roman"/>
          <w:sz w:val="32"/>
          <w:szCs w:val="32"/>
        </w:rPr>
        <w:t>家，</w:t>
      </w:r>
      <w:r>
        <w:rPr>
          <w:rFonts w:hint="eastAsia" w:ascii="仿宋_GB2312" w:hAnsi="Times New Roman" w:eastAsia="仿宋_GB2312" w:cs="Times New Roman"/>
          <w:sz w:val="32"/>
          <w:szCs w:val="32"/>
          <w:lang w:eastAsia="zh-CN"/>
        </w:rPr>
        <w:t>检查各类食品药品生产经营企业</w:t>
      </w:r>
      <w:r>
        <w:rPr>
          <w:rFonts w:hint="eastAsia" w:ascii="仿宋_GB2312" w:hAnsi="Times New Roman" w:eastAsia="仿宋_GB2312" w:cs="Times New Roman"/>
          <w:sz w:val="32"/>
          <w:szCs w:val="32"/>
          <w:lang w:val="en-US" w:eastAsia="zh-CN"/>
        </w:rPr>
        <w:t>4万余家，</w:t>
      </w:r>
      <w:r>
        <w:rPr>
          <w:rFonts w:hint="eastAsia" w:ascii="仿宋_GB2312" w:hAnsi="Times New Roman" w:eastAsia="仿宋_GB2312" w:cs="Times New Roman"/>
          <w:sz w:val="32"/>
          <w:szCs w:val="32"/>
        </w:rPr>
        <w:t>发现问题</w:t>
      </w:r>
      <w:r>
        <w:rPr>
          <w:rFonts w:hint="eastAsia" w:ascii="仿宋_GB2312" w:hAnsi="Times New Roman" w:eastAsia="仿宋_GB2312" w:cs="Times New Roman"/>
          <w:sz w:val="32"/>
          <w:szCs w:val="32"/>
          <w:lang w:val="en-US" w:eastAsia="zh-CN"/>
        </w:rPr>
        <w:t>7千余</w:t>
      </w:r>
      <w:r>
        <w:rPr>
          <w:rFonts w:hint="eastAsia" w:ascii="仿宋_GB2312" w:hAnsi="Times New Roman" w:eastAsia="仿宋_GB2312" w:cs="Times New Roman"/>
          <w:sz w:val="32"/>
          <w:szCs w:val="32"/>
        </w:rPr>
        <w:t>个，约谈企业</w:t>
      </w:r>
      <w:r>
        <w:rPr>
          <w:rFonts w:hint="eastAsia" w:ascii="仿宋_GB2312" w:hAnsi="Times New Roman" w:eastAsia="仿宋_GB2312" w:cs="Times New Roman"/>
          <w:sz w:val="32"/>
          <w:szCs w:val="32"/>
          <w:lang w:val="en-US" w:eastAsia="zh-CN"/>
        </w:rPr>
        <w:t>1000余</w:t>
      </w:r>
      <w:r>
        <w:rPr>
          <w:rFonts w:hint="eastAsia" w:ascii="仿宋_GB2312" w:hAnsi="Times New Roman" w:eastAsia="仿宋_GB2312" w:cs="Times New Roman"/>
          <w:sz w:val="32"/>
          <w:szCs w:val="32"/>
        </w:rPr>
        <w:t>家，停产停业整顿535家，并对违法违规行为进行查处。严厉打击食品药品违法犯罪行为</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与绵阳出入境检验检疫局联合印发了《深化协作共同保障食品安全合作备忘录》，严厉打击非法进口、走私食品等违法犯罪行为。加强行政执法与刑事司法的衔接，市检察院在市局设立检察室，督促及时依法移送、侦查、审理行政区域内食品药品安全涉刑案件。</w:t>
      </w:r>
      <w:r>
        <w:rPr>
          <w:rFonts w:hint="eastAsia" w:ascii="仿宋_GB2312" w:hAnsi="Times New Roman" w:eastAsia="仿宋_GB2312" w:cs="Times New Roman"/>
          <w:sz w:val="32"/>
          <w:szCs w:val="32"/>
          <w:lang w:eastAsia="zh-CN"/>
        </w:rPr>
        <w:t>全市</w:t>
      </w:r>
      <w:r>
        <w:rPr>
          <w:rFonts w:hint="eastAsia" w:ascii="仿宋_GB2312" w:hAnsi="Times New Roman" w:eastAsia="仿宋_GB2312" w:cs="Times New Roman"/>
          <w:sz w:val="32"/>
          <w:szCs w:val="32"/>
        </w:rPr>
        <w:t>共立案查处</w:t>
      </w:r>
      <w:r>
        <w:rPr>
          <w:rFonts w:hint="eastAsia" w:ascii="仿宋_GB2312" w:hAnsi="Times New Roman" w:eastAsia="仿宋_GB2312" w:cs="Times New Roman"/>
          <w:sz w:val="32"/>
          <w:szCs w:val="32"/>
          <w:lang w:eastAsia="zh-CN"/>
        </w:rPr>
        <w:t>食品药品</w:t>
      </w:r>
      <w:r>
        <w:rPr>
          <w:rFonts w:hint="eastAsia" w:ascii="仿宋_GB2312" w:hAnsi="Times New Roman" w:eastAsia="仿宋_GB2312" w:cs="Times New Roman"/>
          <w:sz w:val="32"/>
          <w:szCs w:val="32"/>
        </w:rPr>
        <w:t>案件</w:t>
      </w:r>
      <w:r>
        <w:rPr>
          <w:rFonts w:hint="eastAsia" w:ascii="仿宋_GB2312" w:hAnsi="Times New Roman" w:eastAsia="仿宋_GB2312" w:cs="Times New Roman"/>
          <w:sz w:val="32"/>
          <w:szCs w:val="32"/>
          <w:lang w:val="en-US" w:eastAsia="zh-CN"/>
        </w:rPr>
        <w:t>1020</w:t>
      </w:r>
      <w:r>
        <w:rPr>
          <w:rFonts w:hint="eastAsia" w:ascii="仿宋_GB2312" w:hAnsi="Times New Roman" w:eastAsia="仿宋_GB2312" w:cs="Times New Roman"/>
          <w:sz w:val="32"/>
          <w:szCs w:val="32"/>
        </w:rPr>
        <w:t>件、办结案件</w:t>
      </w:r>
      <w:r>
        <w:rPr>
          <w:rFonts w:hint="eastAsia" w:ascii="仿宋_GB2312" w:hAnsi="Times New Roman" w:eastAsia="仿宋_GB2312" w:cs="Times New Roman"/>
          <w:sz w:val="32"/>
          <w:szCs w:val="32"/>
          <w:lang w:val="en-US" w:eastAsia="zh-CN"/>
        </w:rPr>
        <w:t>1011</w:t>
      </w:r>
      <w:r>
        <w:rPr>
          <w:rFonts w:hint="eastAsia" w:ascii="仿宋_GB2312" w:hAnsi="Times New Roman" w:eastAsia="仿宋_GB2312" w:cs="Times New Roman"/>
          <w:sz w:val="32"/>
          <w:szCs w:val="32"/>
        </w:rPr>
        <w:t>件，共处罚没金额</w:t>
      </w:r>
      <w:r>
        <w:rPr>
          <w:rFonts w:hint="eastAsia" w:ascii="仿宋_GB2312" w:hAnsi="Times New Roman" w:eastAsia="仿宋_GB2312" w:cs="Times New Roman"/>
          <w:sz w:val="32"/>
          <w:szCs w:val="32"/>
          <w:lang w:val="en-US" w:eastAsia="zh-CN"/>
        </w:rPr>
        <w:t>815.7</w:t>
      </w:r>
      <w:r>
        <w:rPr>
          <w:rFonts w:hint="eastAsia" w:ascii="仿宋_GB2312" w:hAnsi="Times New Roman" w:eastAsia="仿宋_GB2312" w:cs="Times New Roman"/>
          <w:sz w:val="32"/>
          <w:szCs w:val="32"/>
        </w:rPr>
        <w:t>万余元，全市移送司法机关</w:t>
      </w:r>
      <w:r>
        <w:rPr>
          <w:rFonts w:hint="eastAsia" w:ascii="仿宋_GB2312" w:hAnsi="Times New Roman" w:eastAsia="仿宋_GB2312" w:cs="Times New Roman"/>
          <w:sz w:val="32"/>
          <w:szCs w:val="32"/>
          <w:lang w:val="en-US" w:eastAsia="zh-CN"/>
        </w:rPr>
        <w:t>12</w:t>
      </w:r>
      <w:r>
        <w:rPr>
          <w:rFonts w:hint="eastAsia" w:ascii="仿宋_GB2312" w:hAnsi="Times New Roman" w:eastAsia="仿宋_GB2312" w:cs="Times New Roman"/>
          <w:sz w:val="32"/>
          <w:szCs w:val="32"/>
        </w:rPr>
        <w:t>件。有效保障了饮食用药安全。</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创建引领、社会共治。对照“国家食品安全示范城市”和“省级食品药品安全示范城市”创建要求，逐项梳理缺失项目，稳妥进行整顿改进。在巩固提升三台、安州、北川省级食品安全示范县创建成果的基础上，积极推进江油市、平武县第二批和梓潼县第三批省级食品安全示范县创建。深入开展市级食品安全示范乡镇（街道）创建，加快完成涪城区龙门镇、工区街道等首批10个示范乡镇（街道）验收工作，启动第二批市级食品安全示范乡镇（街道）创建申报。强力推进明厨亮灶、学校食堂“灭C行动”，截止</w:t>
      </w:r>
      <w:r>
        <w:rPr>
          <w:rFonts w:hint="eastAsia" w:ascii="仿宋_GB2312" w:hAnsi="Times New Roman" w:eastAsia="仿宋_GB2312" w:cs="Times New Roman"/>
          <w:sz w:val="32"/>
          <w:szCs w:val="32"/>
          <w:lang w:eastAsia="zh-CN"/>
        </w:rPr>
        <w:t>目前</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学校食堂中C级单位减少了32%，</w:t>
      </w:r>
      <w:r>
        <w:rPr>
          <w:rFonts w:hint="eastAsia" w:ascii="仿宋_GB2312" w:hAnsi="Times New Roman" w:eastAsia="仿宋_GB2312" w:cs="Times New Roman"/>
          <w:sz w:val="32"/>
          <w:szCs w:val="32"/>
        </w:rPr>
        <w:t>全市“明厨亮灶”覆盖率达</w:t>
      </w:r>
      <w:r>
        <w:rPr>
          <w:rFonts w:hint="eastAsia" w:ascii="仿宋_GB2312" w:hAnsi="Times New Roman" w:eastAsia="仿宋_GB2312" w:cs="Times New Roman"/>
          <w:sz w:val="32"/>
          <w:szCs w:val="32"/>
          <w:lang w:eastAsia="zh-CN"/>
        </w:rPr>
        <w:t>到</w:t>
      </w:r>
      <w:r>
        <w:rPr>
          <w:rFonts w:hint="eastAsia" w:ascii="仿宋_GB2312" w:hAnsi="Times New Roman" w:eastAsia="仿宋_GB2312" w:cs="Times New Roman"/>
          <w:sz w:val="32"/>
          <w:szCs w:val="32"/>
          <w:lang w:val="en-US" w:eastAsia="zh-CN"/>
        </w:rPr>
        <w:t>82.59</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学校明厨亮灶覆盖率达到88.59%。</w:t>
      </w:r>
      <w:r>
        <w:rPr>
          <w:rFonts w:hint="eastAsia" w:ascii="仿宋_GB2312" w:hAnsi="Times New Roman" w:eastAsia="仿宋_GB2312" w:cs="Times New Roman"/>
          <w:sz w:val="32"/>
          <w:szCs w:val="32"/>
        </w:rPr>
        <w:t>大力推广学校食堂保险工作，全市共有545家学校参加食品安全责任保险，投保金额约160万元，保险金额约45亿元。以科技城建设为契机，指导企业自主研发零售药店24小时自动售药机、远程执业医师咨询和食品药品公众查询系统三位一体的智能化售药机，涪城区研发“微码食品三小监管系统”</w:t>
      </w:r>
      <w:r>
        <w:rPr>
          <w:rFonts w:hint="eastAsia" w:ascii="仿宋_GB2312" w:hAnsi="Times New Roman" w:eastAsia="仿宋_GB2312" w:cs="Times New Roman"/>
          <w:sz w:val="32"/>
          <w:szCs w:val="32"/>
          <w:lang w:eastAsia="zh-CN"/>
        </w:rPr>
        <w:t>及江油市</w:t>
      </w:r>
      <w:r>
        <w:rPr>
          <w:rFonts w:hint="eastAsia" w:ascii="仿宋_GB2312" w:hAnsi="Times New Roman" w:eastAsia="仿宋_GB2312" w:cs="Times New Roman"/>
          <w:sz w:val="32"/>
          <w:szCs w:val="32"/>
        </w:rPr>
        <w:t>出台</w:t>
      </w:r>
      <w:r>
        <w:rPr>
          <w:rFonts w:hint="eastAsia" w:ascii="仿宋_GB2312" w:hAnsi="Times New Roman" w:eastAsia="仿宋_GB2312" w:cs="Times New Roman"/>
          <w:sz w:val="32"/>
          <w:szCs w:val="32"/>
          <w:lang w:eastAsia="zh-CN"/>
        </w:rPr>
        <w:t>的</w:t>
      </w:r>
      <w:r>
        <w:rPr>
          <w:rFonts w:hint="eastAsia" w:ascii="仿宋_GB2312" w:hAnsi="Times New Roman" w:eastAsia="仿宋_GB2312" w:cs="Times New Roman"/>
          <w:sz w:val="32"/>
          <w:szCs w:val="32"/>
        </w:rPr>
        <w:t>《江油市食品小作坊禁止生产加工食品目录》</w:t>
      </w:r>
      <w:r>
        <w:rPr>
          <w:rFonts w:hint="eastAsia" w:ascii="仿宋_GB2312" w:hAnsi="Times New Roman" w:eastAsia="仿宋_GB2312" w:cs="Times New Roman"/>
          <w:sz w:val="32"/>
          <w:szCs w:val="32"/>
          <w:lang w:eastAsia="zh-CN"/>
        </w:rPr>
        <w:t>推进了三小备案监管的信息化</w:t>
      </w:r>
      <w:r>
        <w:rPr>
          <w:rFonts w:hint="eastAsia" w:ascii="仿宋_GB2312" w:hAnsi="Times New Roman" w:eastAsia="仿宋_GB2312" w:cs="Times New Roman"/>
          <w:sz w:val="32"/>
          <w:szCs w:val="32"/>
        </w:rPr>
        <w:t>，全市药品零售环节推行</w:t>
      </w:r>
      <w:r>
        <w:rPr>
          <w:rFonts w:hint="eastAsia" w:ascii="仿宋_GB2312" w:hAnsi="Times New Roman" w:eastAsia="仿宋_GB2312" w:cs="Times New Roman"/>
          <w:sz w:val="32"/>
          <w:szCs w:val="32"/>
          <w:lang w:eastAsia="zh-CN"/>
        </w:rPr>
        <w:t>了</w:t>
      </w:r>
      <w:r>
        <w:rPr>
          <w:rFonts w:hint="eastAsia" w:ascii="仿宋_GB2312" w:hAnsi="Times New Roman" w:eastAsia="仿宋_GB2312" w:cs="Times New Roman"/>
          <w:sz w:val="32"/>
          <w:szCs w:val="32"/>
        </w:rPr>
        <w:t>执业药师远程药学服务和电子处方试点。</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深化改革、助力发展。在巩固前期改革取得成效的基础上，进一步完善许可流程，减少不必要环节，推行“互联网+EMS”模式，实现了行政许可“最多跑一次”。借助网络、微信、QQ平台，全天候24小时对企业申办许可、换发证件提供咨询服务。会同绵阳海关（检验检疫局）推行HACCP体系认证及产品出口备案，共同完善标准规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全市已有15家食品生产企业取得出口备案资格，其中绵阳开元米粉、江油肥肠、智华皮蛋等“绵阳造”品牌已正式出口进入国际市场。支持九院一所正电子回旋加速器、二所放射性药品研发申报，加快推进中国核医学中心建设。加快推进四川龙源康药业有限公司中药饮片及植物提取物生产等项目建设进度，打造梓潼生物医药产业园。</w:t>
      </w:r>
      <w:r>
        <w:rPr>
          <w:rFonts w:hint="eastAsia" w:ascii="仿宋_GB2312" w:hAnsi="Times New Roman" w:eastAsia="仿宋_GB2312" w:cs="Times New Roman"/>
          <w:sz w:val="32"/>
          <w:szCs w:val="32"/>
          <w:lang w:eastAsia="zh-CN"/>
        </w:rPr>
        <w:t>支持</w:t>
      </w:r>
      <w:r>
        <w:rPr>
          <w:rFonts w:hint="eastAsia" w:ascii="仿宋_GB2312" w:hAnsi="Times New Roman" w:eastAsia="仿宋_GB2312" w:cs="Times New Roman"/>
          <w:sz w:val="32"/>
          <w:szCs w:val="32"/>
        </w:rPr>
        <w:t>招引</w:t>
      </w:r>
      <w:r>
        <w:rPr>
          <w:rFonts w:hint="eastAsia" w:ascii="仿宋_GB2312" w:hAnsi="Times New Roman" w:eastAsia="仿宋_GB2312" w:cs="Times New Roman"/>
          <w:sz w:val="32"/>
          <w:szCs w:val="32"/>
          <w:lang w:val="en-US" w:eastAsia="zh-CN"/>
        </w:rPr>
        <w:t>6.8亿元投资</w:t>
      </w:r>
      <w:r>
        <w:rPr>
          <w:rFonts w:hint="eastAsia" w:ascii="仿宋_GB2312" w:hAnsi="Times New Roman" w:eastAsia="仿宋_GB2312" w:cs="Times New Roman"/>
          <w:sz w:val="32"/>
          <w:szCs w:val="32"/>
        </w:rPr>
        <w:t>中国中药（绵阳）产业园天雄药业生产基地项目落地安州，成为中国医药集团总公司首个地市级生产基地。指导中坝附子科技发展有限公司建立全国最优的附子生产加工基地，鼓励三台麦冬、平武天麻、江油附子等道地药材建设大宗优质中药材生产基地，支持三台县申报麦冬大宗品种和食药同源项目建设。</w:t>
      </w:r>
    </w:p>
    <w:p>
      <w:pPr>
        <w:spacing w:line="600" w:lineRule="exact"/>
        <w:ind w:firstLine="640" w:firstLineChars="200"/>
        <w:rPr>
          <w:rFonts w:hint="eastAsia" w:ascii="仿宋" w:hAnsi="仿宋" w:eastAsia="仿宋"/>
          <w:bCs/>
          <w:color w:val="000000"/>
          <w:sz w:val="32"/>
          <w:szCs w:val="32"/>
        </w:rPr>
      </w:pP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.加强党建、正风肃纪。深入学习贯彻习近平新时代中国特色社会主义思想和党的十九大精神，以及习近平来川视察重要讲话精神、省委书记彭清华在全省市厅级主要领导干部读书班的讲话精神</w:t>
      </w:r>
      <w:r>
        <w:rPr>
          <w:rFonts w:hint="eastAsia" w:ascii="仿宋_GB2312" w:hAnsi="宋体" w:eastAsia="仿宋_GB2312"/>
          <w:sz w:val="32"/>
          <w:szCs w:val="32"/>
        </w:rPr>
        <w:t>为主要内容，</w:t>
      </w:r>
      <w:r>
        <w:rPr>
          <w:rFonts w:hint="eastAsia" w:ascii="仿宋_GB2312" w:hAnsi="宋体" w:eastAsia="仿宋_GB2312"/>
          <w:sz w:val="32"/>
          <w:szCs w:val="32"/>
          <w:lang w:eastAsia="zh-CN"/>
        </w:rPr>
        <w:t>组织全系统广泛开展学习活动，</w:t>
      </w:r>
      <w:r>
        <w:rPr>
          <w:rFonts w:hint="eastAsia" w:ascii="仿宋_GB2312" w:hAnsi="宋体" w:eastAsia="仿宋_GB2312"/>
          <w:sz w:val="32"/>
          <w:szCs w:val="32"/>
        </w:rPr>
        <w:t>进一步解放思想</w:t>
      </w:r>
      <w:r>
        <w:rPr>
          <w:rFonts w:hint="eastAsia" w:ascii="仿宋_GB2312" w:hAnsi="宋体" w:eastAsia="仿宋_GB2312"/>
          <w:sz w:val="32"/>
          <w:szCs w:val="32"/>
          <w:lang w:eastAsia="zh-CN"/>
        </w:rPr>
        <w:t>。</w:t>
      </w:r>
      <w:r>
        <w:rPr>
          <w:rFonts w:hint="eastAsia" w:ascii="仿宋_GB2312" w:hAnsi="宋体" w:eastAsia="仿宋_GB2312"/>
          <w:sz w:val="32"/>
          <w:szCs w:val="32"/>
        </w:rPr>
        <w:t>持续推进“两学一做”学习教育常态化制度化，教育引导领导干部讲政治、守纪律、守规矩，牢固树立“四个意识”。</w:t>
      </w:r>
      <w:r>
        <w:rPr>
          <w:rFonts w:hint="eastAsia" w:ascii="仿宋_GB2312" w:eastAsia="仿宋_GB2312"/>
          <w:sz w:val="32"/>
          <w:szCs w:val="32"/>
        </w:rPr>
        <w:t>制定党建工作和党风廉政建设工作责任清单，层层签订党建工作和党风廉政建设责任书。扎实推进</w:t>
      </w:r>
      <w:r>
        <w:rPr>
          <w:rFonts w:hint="eastAsia" w:ascii="仿宋_GB2312" w:eastAsia="仿宋_GB2312"/>
          <w:sz w:val="32"/>
          <w:szCs w:val="32"/>
          <w:lang w:eastAsia="zh-CN"/>
        </w:rPr>
        <w:t>“大学习、大讨论、大调研”及省局政风行风建设“五大行动”活动</w:t>
      </w:r>
      <w:r>
        <w:rPr>
          <w:rFonts w:hint="eastAsia" w:ascii="仿宋_GB2312" w:eastAsia="仿宋_GB2312"/>
          <w:sz w:val="32"/>
          <w:szCs w:val="32"/>
        </w:rPr>
        <w:t>，</w:t>
      </w:r>
      <w:r>
        <w:rPr>
          <w:rFonts w:hint="eastAsia" w:ascii="仿宋_GB2312" w:eastAsia="仿宋_GB2312"/>
          <w:sz w:val="32"/>
          <w:szCs w:val="32"/>
          <w:lang w:eastAsia="zh-CN"/>
        </w:rPr>
        <w:t>涪城区食药工质局在全省食药系统政风行风建设总结会上作经验交流发言。</w:t>
      </w:r>
      <w:r>
        <w:rPr>
          <w:rFonts w:hint="eastAsia" w:ascii="仿宋_GB2312" w:eastAsia="仿宋_GB2312"/>
          <w:sz w:val="32"/>
          <w:szCs w:val="32"/>
          <w:lang w:val="en-US" w:eastAsia="zh-CN"/>
        </w:rPr>
        <w:t>全面提升专业监管能力，实施全员大培训，</w:t>
      </w:r>
      <w:r>
        <w:rPr>
          <w:rFonts w:hint="eastAsia" w:ascii="Times New Roman" w:hAnsi="Times New Roman" w:eastAsia="仿宋_GB2312" w:cs="Times New Roman"/>
          <w:color w:val="000000"/>
          <w:kern w:val="2"/>
          <w:sz w:val="32"/>
          <w:szCs w:val="32"/>
          <w:lang w:val="en-US" w:eastAsia="zh-CN" w:bidi="ar-SA"/>
        </w:rPr>
        <w:t>着力建设一支纪律严明、作风优良、敢查善管、敢于担当的执法队伍</w:t>
      </w:r>
      <w:r>
        <w:rPr>
          <w:rFonts w:hint="eastAsia" w:ascii="仿宋_GB2312" w:eastAsia="仿宋_GB2312"/>
          <w:sz w:val="32"/>
          <w:szCs w:val="32"/>
          <w:lang w:val="en-US" w:eastAsia="zh-CN"/>
        </w:rPr>
        <w:t>。</w:t>
      </w:r>
      <w:r>
        <w:rPr>
          <w:rFonts w:hint="eastAsia" w:ascii="仿宋_GB2312" w:hAnsi="仿宋" w:eastAsia="仿宋_GB2312" w:cs="宋体"/>
          <w:color w:val="000000"/>
          <w:kern w:val="0"/>
          <w:sz w:val="32"/>
          <w:szCs w:val="32"/>
        </w:rPr>
        <w:t>纵深推进全面从严治党，驰而不息正风肃纪，规范党内组织生活，</w:t>
      </w:r>
      <w:r>
        <w:rPr>
          <w:rFonts w:hint="eastAsia" w:ascii="仿宋_GB2312" w:hAnsi="仿宋" w:eastAsia="仿宋_GB2312" w:cs="仿宋"/>
          <w:bCs/>
          <w:color w:val="000000"/>
          <w:sz w:val="32"/>
          <w:szCs w:val="32"/>
        </w:rPr>
        <w:t>持续落实中央八项规定、省委省政府十项规定、市委市政府七项规定和市局六项规定，落实食品药品监管“四个最严”要求，实践运用监督执纪“四种形态”，强化廉政风险防控和权力运行约束监督，永葆清正廉洁政治本色。</w:t>
      </w:r>
    </w:p>
    <w:p>
      <w:pPr>
        <w:pStyle w:val="3"/>
        <w:rPr>
          <w:rStyle w:val="20"/>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0"/>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lang w:eastAsia="zh-CN"/>
        </w:rPr>
        <w:t>原绵阳市食品药品监督管理局</w:t>
      </w:r>
      <w:r>
        <w:rPr>
          <w:rFonts w:hint="eastAsia" w:ascii="仿宋" w:hAnsi="仿宋" w:eastAsia="仿宋"/>
          <w:sz w:val="32"/>
          <w:szCs w:val="32"/>
        </w:rPr>
        <w:t>下属二级单位</w:t>
      </w:r>
      <w:r>
        <w:rPr>
          <w:rFonts w:hint="eastAsia" w:ascii="仿宋" w:hAnsi="仿宋" w:eastAsia="仿宋"/>
          <w:sz w:val="32"/>
          <w:szCs w:val="32"/>
          <w:lang w:val="en-US" w:eastAsia="zh-CN"/>
        </w:rPr>
        <w:t>4</w:t>
      </w:r>
      <w:r>
        <w:rPr>
          <w:rFonts w:hint="eastAsia" w:ascii="仿宋" w:hAnsi="仿宋" w:eastAsia="仿宋"/>
          <w:sz w:val="32"/>
          <w:szCs w:val="32"/>
        </w:rPr>
        <w:t>个，其中行政单位</w:t>
      </w:r>
      <w:r>
        <w:rPr>
          <w:rFonts w:hint="eastAsia" w:ascii="仿宋" w:hAnsi="仿宋" w:eastAsia="仿宋"/>
          <w:sz w:val="32"/>
          <w:szCs w:val="32"/>
          <w:lang w:val="en-US" w:eastAsia="zh-CN"/>
        </w:rPr>
        <w:t>1</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1</w:t>
      </w:r>
      <w:r>
        <w:rPr>
          <w:rFonts w:hint="eastAsia" w:ascii="仿宋" w:hAnsi="仿宋" w:eastAsia="仿宋"/>
          <w:sz w:val="32"/>
          <w:szCs w:val="32"/>
        </w:rPr>
        <w:t>个，其他事业单位</w:t>
      </w:r>
      <w:r>
        <w:rPr>
          <w:rFonts w:hint="eastAsia" w:ascii="仿宋" w:hAnsi="仿宋" w:eastAsia="仿宋"/>
          <w:sz w:val="32"/>
          <w:szCs w:val="32"/>
          <w:lang w:val="en-US" w:eastAsia="zh-CN"/>
        </w:rPr>
        <w:t>2</w:t>
      </w:r>
      <w:r>
        <w:rPr>
          <w:rFonts w:hint="eastAsia" w:ascii="仿宋" w:hAnsi="仿宋" w:eastAsia="仿宋"/>
          <w:sz w:val="32"/>
          <w:szCs w:val="32"/>
        </w:rPr>
        <w:t>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sz w:val="32"/>
          <w:szCs w:val="32"/>
          <w:lang w:eastAsia="zh-CN"/>
        </w:rPr>
        <w:t>原绵阳市食品药品监督管理局</w:t>
      </w:r>
      <w:r>
        <w:rPr>
          <w:rFonts w:ascii="仿宋" w:hAnsi="仿宋" w:eastAsia="仿宋"/>
          <w:color w:val="000000"/>
          <w:sz w:val="32"/>
          <w:szCs w:val="32"/>
        </w:rPr>
        <w:t>2018</w:t>
      </w:r>
      <w:r>
        <w:rPr>
          <w:rFonts w:hint="eastAsia" w:ascii="仿宋" w:hAnsi="仿宋" w:eastAsia="仿宋"/>
          <w:color w:val="000000"/>
          <w:sz w:val="32"/>
          <w:szCs w:val="32"/>
        </w:rPr>
        <w:t>年度部门决算编制范围的二级预算单位包括：</w:t>
      </w:r>
    </w:p>
    <w:p>
      <w:pPr>
        <w:pStyle w:val="5"/>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sz w:val="32"/>
          <w:szCs w:val="32"/>
          <w:lang w:eastAsia="zh-CN"/>
        </w:rPr>
        <w:t>原绵阳市食品药品监督管理局机关</w:t>
      </w:r>
    </w:p>
    <w:p>
      <w:pPr>
        <w:pStyle w:val="5"/>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绵阳市食品药品稽查支队</w:t>
      </w:r>
    </w:p>
    <w:p>
      <w:pPr>
        <w:pStyle w:val="5"/>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绵阳市食品药品检验所</w:t>
      </w:r>
    </w:p>
    <w:p>
      <w:pPr>
        <w:pStyle w:val="5"/>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绵阳市药品不良反应监测中心</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19"/>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ascii="黑体" w:hAnsi="黑体" w:eastAsia="黑体"/>
          <w:color w:val="000000"/>
        </w:rPr>
        <w:t xml:space="preserve"> </w:t>
      </w:r>
      <w:r>
        <w:rPr>
          <w:rStyle w:val="19"/>
          <w:rFonts w:ascii="黑体" w:hAnsi="黑体" w:eastAsia="黑体"/>
          <w:b w:val="0"/>
          <w:bCs w:val="0"/>
        </w:rPr>
        <w:t>2018</w:t>
      </w:r>
      <w:r>
        <w:rPr>
          <w:rStyle w:val="19"/>
          <w:rFonts w:hint="eastAsia" w:ascii="黑体" w:hAnsi="黑体" w:eastAsia="黑体"/>
          <w:b w:val="0"/>
          <w:bCs w:val="0"/>
        </w:rPr>
        <w:t>年度部门决算情况说明</w:t>
      </w:r>
      <w:bookmarkEnd w:id="22"/>
      <w:bookmarkEnd w:id="23"/>
    </w:p>
    <w:p/>
    <w:p>
      <w:pPr>
        <w:pStyle w:val="29"/>
        <w:numPr>
          <w:ilvl w:val="0"/>
          <w:numId w:val="2"/>
        </w:numPr>
        <w:spacing w:line="600" w:lineRule="exact"/>
        <w:ind w:firstLineChars="0"/>
        <w:outlineLvl w:val="1"/>
        <w:rPr>
          <w:rStyle w:val="20"/>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0"/>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2018</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5824.12</w:t>
      </w:r>
      <w:r>
        <w:rPr>
          <w:rFonts w:hint="eastAsia" w:ascii="仿宋" w:hAnsi="仿宋" w:eastAsia="仿宋"/>
          <w:color w:val="000000"/>
          <w:sz w:val="32"/>
          <w:szCs w:val="32"/>
        </w:rPr>
        <w:t>万元。与</w:t>
      </w:r>
      <w:r>
        <w:rPr>
          <w:rFonts w:ascii="仿宋" w:hAnsi="仿宋" w:eastAsia="仿宋"/>
          <w:color w:val="000000"/>
          <w:sz w:val="32"/>
          <w:szCs w:val="32"/>
        </w:rPr>
        <w:t>2017</w:t>
      </w:r>
      <w:r>
        <w:rPr>
          <w:rFonts w:hint="eastAsia" w:ascii="仿宋" w:hAnsi="仿宋" w:eastAsia="仿宋"/>
          <w:color w:val="000000"/>
          <w:sz w:val="32"/>
          <w:szCs w:val="32"/>
        </w:rPr>
        <w:t>年相比，收、支总计各</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852.21</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12.76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上级专项资金减少。</w:t>
      </w:r>
    </w:p>
    <w:p>
      <w:pPr>
        <w:pStyle w:val="29"/>
        <w:numPr>
          <w:ilvl w:val="0"/>
          <w:numId w:val="2"/>
        </w:numPr>
        <w:spacing w:line="600" w:lineRule="exact"/>
        <w:ind w:firstLineChars="0"/>
        <w:outlineLvl w:val="1"/>
        <w:rPr>
          <w:rStyle w:val="20"/>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0"/>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4073.43</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4071.68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99.96</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万元；其他收入</w:t>
      </w:r>
      <w:r>
        <w:rPr>
          <w:rFonts w:hint="eastAsia" w:ascii="仿宋" w:hAnsi="仿宋" w:eastAsia="仿宋"/>
          <w:color w:val="000000"/>
          <w:sz w:val="32"/>
          <w:szCs w:val="32"/>
          <w:lang w:val="en-US" w:eastAsia="zh-CN"/>
        </w:rPr>
        <w:t>1.75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0.04</w:t>
      </w:r>
      <w:r>
        <w:rPr>
          <w:rFonts w:ascii="仿宋" w:hAnsi="仿宋" w:eastAsia="仿宋"/>
          <w:color w:val="000000"/>
          <w:sz w:val="32"/>
          <w:szCs w:val="32"/>
        </w:rPr>
        <w:t>%</w:t>
      </w:r>
      <w:r>
        <w:rPr>
          <w:rFonts w:hint="eastAsia" w:ascii="仿宋" w:hAnsi="仿宋" w:eastAsia="仿宋"/>
          <w:color w:val="000000"/>
          <w:sz w:val="32"/>
          <w:szCs w:val="32"/>
        </w:rPr>
        <w:t>。</w:t>
      </w:r>
    </w:p>
    <w:p>
      <w:pPr>
        <w:pStyle w:val="29"/>
        <w:numPr>
          <w:ilvl w:val="0"/>
          <w:numId w:val="2"/>
        </w:numPr>
        <w:spacing w:line="600" w:lineRule="exact"/>
        <w:ind w:firstLineChars="0"/>
        <w:outlineLvl w:val="1"/>
        <w:rPr>
          <w:rStyle w:val="20"/>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0"/>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2018</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5006.22</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2615.36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52.24</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2390.86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47.76</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p>
    <w:p>
      <w:pPr>
        <w:spacing w:line="600" w:lineRule="exact"/>
        <w:ind w:firstLine="640" w:firstLineChars="200"/>
        <w:outlineLvl w:val="1"/>
        <w:rPr>
          <w:rStyle w:val="20"/>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0"/>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5433.03</w:t>
      </w:r>
      <w:r>
        <w:rPr>
          <w:rFonts w:hint="eastAsia" w:ascii="仿宋" w:hAnsi="仿宋" w:eastAsia="仿宋"/>
          <w:color w:val="000000"/>
          <w:sz w:val="32"/>
          <w:szCs w:val="32"/>
        </w:rPr>
        <w:t>万元。与</w:t>
      </w:r>
      <w:r>
        <w:rPr>
          <w:rFonts w:ascii="仿宋" w:hAnsi="仿宋" w:eastAsia="仿宋"/>
          <w:color w:val="000000"/>
          <w:sz w:val="32"/>
          <w:szCs w:val="32"/>
        </w:rPr>
        <w:t>2017</w:t>
      </w:r>
      <w:r>
        <w:rPr>
          <w:rFonts w:hint="eastAsia" w:ascii="仿宋" w:hAnsi="仿宋" w:eastAsia="仿宋"/>
          <w:color w:val="000000"/>
          <w:sz w:val="32"/>
          <w:szCs w:val="32"/>
        </w:rPr>
        <w:t>年相比，财政拨款收、支总计各减少</w:t>
      </w:r>
      <w:r>
        <w:rPr>
          <w:rFonts w:hint="eastAsia" w:ascii="仿宋" w:hAnsi="仿宋" w:eastAsia="仿宋"/>
          <w:color w:val="000000"/>
          <w:sz w:val="32"/>
          <w:szCs w:val="32"/>
          <w:lang w:val="en-US" w:eastAsia="zh-CN"/>
        </w:rPr>
        <w:t>38.33</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0.7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上级专项资金减少。</w:t>
      </w:r>
    </w:p>
    <w:p>
      <w:pPr>
        <w:spacing w:line="600" w:lineRule="exact"/>
        <w:ind w:firstLine="640" w:firstLineChars="200"/>
        <w:outlineLvl w:val="1"/>
        <w:rPr>
          <w:rStyle w:val="20"/>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0"/>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2018</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4928.58</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98.45</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2017</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818.57</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19.92</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加快资金使用进度。</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4928.58</w:t>
      </w:r>
      <w:r>
        <w:rPr>
          <w:rFonts w:hint="eastAsia" w:ascii="仿宋" w:hAnsi="仿宋" w:eastAsia="仿宋"/>
          <w:color w:val="000000"/>
          <w:sz w:val="32"/>
          <w:szCs w:val="32"/>
        </w:rPr>
        <w:t>万元，主要用于以下方面:社会保障和就业支出</w:t>
      </w:r>
      <w:r>
        <w:rPr>
          <w:rFonts w:hint="eastAsia" w:ascii="仿宋" w:hAnsi="仿宋" w:eastAsia="仿宋"/>
          <w:color w:val="000000"/>
          <w:sz w:val="32"/>
          <w:szCs w:val="32"/>
          <w:lang w:val="en-US" w:eastAsia="zh-CN"/>
        </w:rPr>
        <w:t>266.44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5.41</w:t>
      </w:r>
      <w:r>
        <w:rPr>
          <w:rFonts w:ascii="仿宋" w:hAnsi="仿宋" w:eastAsia="仿宋"/>
          <w:color w:val="000000"/>
          <w:sz w:val="32"/>
          <w:szCs w:val="32"/>
        </w:rPr>
        <w:t>%</w:t>
      </w:r>
      <w:r>
        <w:rPr>
          <w:rFonts w:hint="eastAsia" w:ascii="仿宋" w:hAnsi="仿宋" w:eastAsia="仿宋"/>
          <w:color w:val="000000"/>
          <w:sz w:val="32"/>
          <w:szCs w:val="32"/>
        </w:rPr>
        <w:t>；医疗卫生支出</w:t>
      </w:r>
      <w:r>
        <w:rPr>
          <w:rFonts w:hint="eastAsia" w:ascii="仿宋" w:hAnsi="仿宋" w:eastAsia="仿宋"/>
          <w:color w:val="000000"/>
          <w:sz w:val="32"/>
          <w:szCs w:val="32"/>
          <w:lang w:val="en-US" w:eastAsia="zh-CN"/>
        </w:rPr>
        <w:t>4517.18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91.65</w:t>
      </w:r>
      <w:r>
        <w:rPr>
          <w:rFonts w:ascii="仿宋" w:hAnsi="仿宋" w:eastAsia="仿宋"/>
          <w:color w:val="000000"/>
          <w:sz w:val="32"/>
          <w:szCs w:val="32"/>
        </w:rPr>
        <w:t>%</w:t>
      </w:r>
      <w:r>
        <w:rPr>
          <w:rFonts w:hint="eastAsia" w:ascii="仿宋" w:hAnsi="仿宋" w:eastAsia="仿宋"/>
          <w:color w:val="000000"/>
          <w:sz w:val="32"/>
          <w:szCs w:val="32"/>
        </w:rPr>
        <w:t>；住房保障支出</w:t>
      </w:r>
      <w:r>
        <w:rPr>
          <w:rFonts w:hint="eastAsia" w:ascii="仿宋" w:hAnsi="仿宋" w:eastAsia="仿宋"/>
          <w:color w:val="000000"/>
          <w:sz w:val="32"/>
          <w:szCs w:val="32"/>
          <w:lang w:val="en-US" w:eastAsia="zh-CN"/>
        </w:rPr>
        <w:t>144.97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2.94</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7444"/>
      <w:bookmarkStart w:id="39" w:name="_Toc15378460"/>
      <w:r>
        <w:rPr>
          <w:rFonts w:ascii="仿宋" w:hAnsi="仿宋" w:eastAsia="仿宋"/>
          <w:b/>
          <w:color w:val="000000"/>
          <w:sz w:val="32"/>
          <w:szCs w:val="32"/>
        </w:rPr>
        <w:t>2018</w:t>
      </w:r>
      <w:r>
        <w:rPr>
          <w:rFonts w:hint="eastAsia" w:ascii="仿宋" w:hAnsi="仿宋" w:eastAsia="仿宋"/>
          <w:b/>
          <w:color w:val="000000"/>
          <w:sz w:val="32"/>
          <w:szCs w:val="32"/>
        </w:rPr>
        <w:t>年</w:t>
      </w:r>
      <w:r>
        <w:rPr>
          <w:rFonts w:hint="eastAsia" w:ascii="仿宋" w:hAnsi="仿宋" w:eastAsia="仿宋"/>
          <w:b/>
          <w:color w:val="000000"/>
          <w:sz w:val="32"/>
          <w:szCs w:val="32"/>
          <w:lang w:eastAsia="zh-CN"/>
        </w:rPr>
        <w:t>一</w:t>
      </w:r>
      <w:r>
        <w:rPr>
          <w:rFonts w:hint="eastAsia" w:ascii="仿宋" w:hAnsi="仿宋" w:eastAsia="仿宋"/>
          <w:b/>
          <w:color w:val="000000"/>
          <w:sz w:val="32"/>
          <w:szCs w:val="32"/>
        </w:rPr>
        <w:t>般公共预算支出决算数为</w:t>
      </w:r>
      <w:r>
        <w:rPr>
          <w:rFonts w:hint="eastAsia" w:ascii="仿宋" w:hAnsi="仿宋" w:eastAsia="仿宋"/>
          <w:b/>
          <w:color w:val="000000"/>
          <w:sz w:val="32"/>
          <w:szCs w:val="32"/>
          <w:lang w:val="en-US" w:eastAsia="zh-CN"/>
        </w:rPr>
        <w:t>4928.58</w:t>
      </w:r>
      <w:r>
        <w:rPr>
          <w:rFonts w:hint="eastAsia" w:ascii="仿宋" w:hAnsi="仿宋" w:eastAsia="仿宋"/>
          <w:color w:val="000000"/>
          <w:sz w:val="32"/>
          <w:szCs w:val="32"/>
        </w:rPr>
        <w:t>，</w:t>
      </w:r>
      <w:r>
        <w:rPr>
          <w:rStyle w:val="15"/>
          <w:rFonts w:hint="eastAsia" w:ascii="仿宋" w:hAnsi="仿宋" w:eastAsia="仿宋"/>
          <w:bCs/>
          <w:color w:val="000000"/>
          <w:sz w:val="32"/>
          <w:szCs w:val="32"/>
        </w:rPr>
        <w:t>完成预算</w:t>
      </w:r>
      <w:r>
        <w:rPr>
          <w:rStyle w:val="15"/>
          <w:rFonts w:hint="eastAsia" w:ascii="仿宋" w:hAnsi="仿宋" w:eastAsia="仿宋"/>
          <w:bCs/>
          <w:color w:val="000000"/>
          <w:sz w:val="32"/>
          <w:szCs w:val="32"/>
          <w:lang w:val="en-US" w:eastAsia="zh-CN"/>
        </w:rPr>
        <w:t>90.72</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spacing w:line="600" w:lineRule="exact"/>
        <w:ind w:firstLine="643" w:firstLineChars="200"/>
        <w:rPr>
          <w:rStyle w:val="15"/>
          <w:rFonts w:hint="eastAsia" w:ascii="仿宋" w:hAnsi="仿宋" w:eastAsia="仿宋"/>
          <w:b w:val="0"/>
          <w:bCs/>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eastAsia="zh-CN"/>
        </w:rPr>
        <w:t>行政事业单位离退休</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事业单位离退休</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0.68</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2</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eastAsia="zh-CN"/>
        </w:rPr>
        <w:t>行政事业单位离退休</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未归口管理的行政单位离退休</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18.23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99.73</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3</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eastAsia="zh-CN"/>
        </w:rPr>
        <w:t>行政事业单位离退休</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机关事业单位基本养老保险缴费</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176.92</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88.27</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决算数小于预算数的主要原因是</w:t>
      </w:r>
      <w:r>
        <w:rPr>
          <w:rStyle w:val="15"/>
          <w:rFonts w:hint="eastAsia" w:ascii="仿宋" w:hAnsi="仿宋" w:eastAsia="仿宋"/>
          <w:b w:val="0"/>
          <w:bCs/>
          <w:color w:val="000000"/>
          <w:sz w:val="32"/>
          <w:szCs w:val="32"/>
          <w:lang w:eastAsia="zh-CN"/>
        </w:rPr>
        <w:t>部分资金跨年度支付</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4</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eastAsia="zh-CN"/>
        </w:rPr>
        <w:t>行政事业单位离退休</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机关事业单位职业年金缴费支出</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70.61</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88.22</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决算数小于预算数的主要原因是</w:t>
      </w:r>
      <w:r>
        <w:rPr>
          <w:rStyle w:val="15"/>
          <w:rFonts w:hint="eastAsia" w:ascii="仿宋" w:hAnsi="仿宋" w:eastAsia="仿宋"/>
          <w:b w:val="0"/>
          <w:bCs/>
          <w:color w:val="000000"/>
          <w:sz w:val="32"/>
          <w:szCs w:val="32"/>
          <w:lang w:eastAsia="zh-CN"/>
        </w:rPr>
        <w:t>部分资金跨年度支付</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5</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医疗卫生与计划生育（类）</w:t>
      </w:r>
      <w:r>
        <w:rPr>
          <w:rStyle w:val="15"/>
          <w:rFonts w:hint="eastAsia" w:ascii="仿宋" w:hAnsi="仿宋" w:eastAsia="仿宋"/>
          <w:bCs/>
          <w:color w:val="000000"/>
          <w:sz w:val="32"/>
          <w:szCs w:val="32"/>
          <w:lang w:eastAsia="zh-CN"/>
        </w:rPr>
        <w:t>食品和药品监督管理事务</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行政运行</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1612.10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99.66</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6</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医疗卫生与计划生育（类）</w:t>
      </w:r>
      <w:r>
        <w:rPr>
          <w:rStyle w:val="15"/>
          <w:rFonts w:hint="eastAsia" w:ascii="仿宋" w:hAnsi="仿宋" w:eastAsia="仿宋"/>
          <w:bCs/>
          <w:color w:val="000000"/>
          <w:sz w:val="32"/>
          <w:szCs w:val="32"/>
          <w:lang w:eastAsia="zh-CN"/>
        </w:rPr>
        <w:t>食品和药品监督管理事务</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一般行政管理事务</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7</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医疗卫生与计划生育（类）</w:t>
      </w:r>
      <w:r>
        <w:rPr>
          <w:rStyle w:val="15"/>
          <w:rFonts w:hint="eastAsia" w:ascii="仿宋" w:hAnsi="仿宋" w:eastAsia="仿宋"/>
          <w:bCs/>
          <w:color w:val="000000"/>
          <w:sz w:val="32"/>
          <w:szCs w:val="32"/>
          <w:lang w:eastAsia="zh-CN"/>
        </w:rPr>
        <w:t>食品和药品监督管理事务</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药品事务</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8</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医疗卫生与计划生育（类）</w:t>
      </w:r>
      <w:r>
        <w:rPr>
          <w:rStyle w:val="15"/>
          <w:rFonts w:hint="eastAsia" w:ascii="仿宋" w:hAnsi="仿宋" w:eastAsia="仿宋"/>
          <w:bCs/>
          <w:color w:val="000000"/>
          <w:sz w:val="32"/>
          <w:szCs w:val="32"/>
          <w:lang w:eastAsia="zh-CN"/>
        </w:rPr>
        <w:t>食品和药品监督管理事务</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化妆品事务</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12</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9</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医疗卫生与计划生育（类）</w:t>
      </w:r>
      <w:r>
        <w:rPr>
          <w:rStyle w:val="15"/>
          <w:rFonts w:hint="eastAsia" w:ascii="仿宋" w:hAnsi="仿宋" w:eastAsia="仿宋"/>
          <w:bCs/>
          <w:color w:val="000000"/>
          <w:sz w:val="32"/>
          <w:szCs w:val="32"/>
          <w:lang w:eastAsia="zh-CN"/>
        </w:rPr>
        <w:t>食品和药品监督管理事务</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医疗器械事务</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80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决算数小于预算数的主要原因是</w:t>
      </w:r>
      <w:r>
        <w:rPr>
          <w:rStyle w:val="15"/>
          <w:rFonts w:hint="eastAsia" w:ascii="仿宋" w:hAnsi="仿宋" w:eastAsia="仿宋"/>
          <w:b w:val="0"/>
          <w:bCs/>
          <w:color w:val="000000"/>
          <w:sz w:val="32"/>
          <w:szCs w:val="32"/>
          <w:lang w:eastAsia="zh-CN"/>
        </w:rPr>
        <w:t>部分资金跨年度支付</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10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医疗卫生与计划生育（类）</w:t>
      </w:r>
      <w:r>
        <w:rPr>
          <w:rStyle w:val="15"/>
          <w:rFonts w:hint="eastAsia" w:ascii="仿宋" w:hAnsi="仿宋" w:eastAsia="仿宋"/>
          <w:bCs/>
          <w:color w:val="000000"/>
          <w:sz w:val="32"/>
          <w:szCs w:val="32"/>
          <w:lang w:eastAsia="zh-CN"/>
        </w:rPr>
        <w:t>食品和药品监督管理事务</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食品安全事务</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337.63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99.58</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11</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医疗卫生与计划生育（类）</w:t>
      </w:r>
      <w:r>
        <w:rPr>
          <w:rStyle w:val="15"/>
          <w:rFonts w:hint="eastAsia" w:ascii="仿宋" w:hAnsi="仿宋" w:eastAsia="仿宋"/>
          <w:bCs/>
          <w:color w:val="000000"/>
          <w:sz w:val="32"/>
          <w:szCs w:val="32"/>
          <w:lang w:eastAsia="zh-CN"/>
        </w:rPr>
        <w:t>食品和药品监督管理事务</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事业运行</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475.29</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12</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医疗卫生与计划生育（类）</w:t>
      </w:r>
      <w:r>
        <w:rPr>
          <w:rStyle w:val="15"/>
          <w:rFonts w:hint="eastAsia" w:ascii="仿宋" w:hAnsi="仿宋" w:eastAsia="仿宋"/>
          <w:bCs/>
          <w:color w:val="000000"/>
          <w:sz w:val="32"/>
          <w:szCs w:val="32"/>
          <w:lang w:eastAsia="zh-CN"/>
        </w:rPr>
        <w:t>食品和药品监督管理事务</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其他食品和药品监督管理事务支出</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1949.81</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80.80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决算数小于预算数的主要原因是</w:t>
      </w:r>
      <w:r>
        <w:rPr>
          <w:rStyle w:val="15"/>
          <w:rFonts w:hint="eastAsia" w:ascii="仿宋" w:hAnsi="仿宋" w:eastAsia="仿宋"/>
          <w:b w:val="0"/>
          <w:bCs/>
          <w:color w:val="000000"/>
          <w:sz w:val="32"/>
          <w:szCs w:val="32"/>
          <w:lang w:eastAsia="zh-CN"/>
        </w:rPr>
        <w:t>部分专项需跨年度实施</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lang w:eastAsia="zh-CN"/>
        </w:rPr>
      </w:pPr>
      <w:r>
        <w:rPr>
          <w:rStyle w:val="15"/>
          <w:rFonts w:hint="eastAsia" w:ascii="仿宋" w:hAnsi="仿宋" w:eastAsia="仿宋"/>
          <w:bCs/>
          <w:color w:val="000000"/>
          <w:sz w:val="32"/>
          <w:szCs w:val="32"/>
          <w:lang w:val="en-US" w:eastAsia="zh-CN"/>
        </w:rPr>
        <w:t>13</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医疗卫生与计划生育（类）</w:t>
      </w:r>
      <w:r>
        <w:rPr>
          <w:rStyle w:val="15"/>
          <w:rFonts w:hint="eastAsia" w:ascii="仿宋" w:hAnsi="仿宋" w:eastAsia="仿宋"/>
          <w:bCs/>
          <w:color w:val="000000"/>
          <w:sz w:val="32"/>
          <w:szCs w:val="32"/>
          <w:lang w:eastAsia="zh-CN"/>
        </w:rPr>
        <w:t>行政事业单位医疗</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行政单位医疗</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28.79</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spacing w:line="600" w:lineRule="exact"/>
        <w:ind w:firstLine="643" w:firstLineChars="200"/>
        <w:rPr>
          <w:rStyle w:val="15"/>
          <w:rFonts w:hint="eastAsia" w:ascii="仿宋" w:hAnsi="仿宋" w:eastAsia="仿宋"/>
          <w:b w:val="0"/>
          <w:bCs/>
          <w:color w:val="000000"/>
          <w:sz w:val="32"/>
          <w:szCs w:val="32"/>
          <w:lang w:eastAsia="zh-CN"/>
        </w:rPr>
      </w:pPr>
      <w:r>
        <w:rPr>
          <w:rStyle w:val="15"/>
          <w:rFonts w:hint="eastAsia" w:ascii="仿宋" w:hAnsi="仿宋" w:eastAsia="仿宋"/>
          <w:bCs/>
          <w:color w:val="000000"/>
          <w:sz w:val="32"/>
          <w:szCs w:val="32"/>
          <w:lang w:val="en-US" w:eastAsia="zh-CN"/>
        </w:rPr>
        <w:t>14</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医疗卫生与计划生育（类）</w:t>
      </w:r>
      <w:r>
        <w:rPr>
          <w:rStyle w:val="15"/>
          <w:rFonts w:hint="eastAsia" w:ascii="仿宋" w:hAnsi="仿宋" w:eastAsia="仿宋"/>
          <w:bCs/>
          <w:color w:val="000000"/>
          <w:sz w:val="32"/>
          <w:szCs w:val="32"/>
          <w:lang w:eastAsia="zh-CN"/>
        </w:rPr>
        <w:t>行政事业单位医疗</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事业单位医疗</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17.06</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spacing w:line="600" w:lineRule="exact"/>
        <w:ind w:firstLine="643" w:firstLineChars="200"/>
        <w:rPr>
          <w:rStyle w:val="15"/>
          <w:rFonts w:hint="eastAsia" w:ascii="仿宋" w:hAnsi="仿宋" w:eastAsia="仿宋"/>
          <w:b w:val="0"/>
          <w:bCs/>
          <w:color w:val="000000"/>
          <w:sz w:val="32"/>
          <w:szCs w:val="32"/>
          <w:lang w:eastAsia="zh-CN"/>
        </w:rPr>
      </w:pPr>
      <w:r>
        <w:rPr>
          <w:rStyle w:val="15"/>
          <w:rFonts w:hint="eastAsia" w:ascii="仿宋" w:hAnsi="仿宋" w:eastAsia="仿宋"/>
          <w:bCs/>
          <w:color w:val="000000"/>
          <w:sz w:val="32"/>
          <w:szCs w:val="32"/>
          <w:lang w:val="en-US" w:eastAsia="zh-CN"/>
        </w:rPr>
        <w:t>15</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医疗卫生与计划生育（类）</w:t>
      </w:r>
      <w:r>
        <w:rPr>
          <w:rStyle w:val="15"/>
          <w:rFonts w:hint="eastAsia" w:ascii="仿宋" w:hAnsi="仿宋" w:eastAsia="仿宋"/>
          <w:bCs/>
          <w:color w:val="000000"/>
          <w:sz w:val="32"/>
          <w:szCs w:val="32"/>
          <w:lang w:eastAsia="zh-CN"/>
        </w:rPr>
        <w:t>其他医疗卫生与计划生育支出</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其他医疗卫生与计划生育支出</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spacing w:line="600" w:lineRule="exact"/>
        <w:ind w:firstLine="643" w:firstLineChars="200"/>
        <w:rPr>
          <w:rStyle w:val="15"/>
          <w:rFonts w:hint="eastAsia" w:ascii="仿宋" w:hAnsi="仿宋" w:eastAsia="仿宋"/>
          <w:b w:val="0"/>
          <w:bCs/>
          <w:color w:val="000000"/>
          <w:sz w:val="32"/>
          <w:szCs w:val="32"/>
          <w:lang w:eastAsia="zh-CN"/>
        </w:rPr>
      </w:pPr>
      <w:r>
        <w:rPr>
          <w:rStyle w:val="15"/>
          <w:rFonts w:hint="eastAsia" w:ascii="仿宋" w:hAnsi="仿宋" w:eastAsia="仿宋"/>
          <w:bCs/>
          <w:color w:val="000000"/>
          <w:sz w:val="32"/>
          <w:szCs w:val="32"/>
          <w:lang w:val="en-US" w:eastAsia="zh-CN"/>
        </w:rPr>
        <w:t>16</w:t>
      </w:r>
      <w:r>
        <w:rPr>
          <w:rStyle w:val="15"/>
          <w:rFonts w:ascii="仿宋" w:hAnsi="仿宋" w:eastAsia="仿宋"/>
          <w:bCs/>
          <w:color w:val="000000"/>
          <w:sz w:val="32"/>
          <w:szCs w:val="32"/>
        </w:rPr>
        <w:t>.</w:t>
      </w:r>
      <w:r>
        <w:rPr>
          <w:rStyle w:val="15"/>
          <w:rFonts w:hint="eastAsia" w:ascii="仿宋" w:hAnsi="仿宋" w:eastAsia="仿宋"/>
          <w:bCs/>
          <w:color w:val="000000"/>
          <w:sz w:val="32"/>
          <w:szCs w:val="32"/>
          <w:lang w:eastAsia="zh-CN"/>
        </w:rPr>
        <w:t>住房保障支出</w:t>
      </w:r>
      <w:r>
        <w:rPr>
          <w:rStyle w:val="15"/>
          <w:rFonts w:hint="eastAsia" w:ascii="仿宋" w:hAnsi="仿宋" w:eastAsia="仿宋"/>
          <w:bCs/>
          <w:color w:val="000000"/>
          <w:sz w:val="32"/>
          <w:szCs w:val="32"/>
        </w:rPr>
        <w:t>（类）</w:t>
      </w:r>
      <w:r>
        <w:rPr>
          <w:rStyle w:val="15"/>
          <w:rFonts w:hint="eastAsia" w:ascii="仿宋" w:hAnsi="仿宋" w:eastAsia="仿宋"/>
          <w:bCs/>
          <w:color w:val="000000"/>
          <w:sz w:val="32"/>
          <w:szCs w:val="32"/>
          <w:lang w:eastAsia="zh-CN"/>
        </w:rPr>
        <w:t>住房改革支出</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住房公积金</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117.84</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spacing w:line="600" w:lineRule="exact"/>
        <w:ind w:firstLine="643" w:firstLineChars="200"/>
        <w:rPr>
          <w:rStyle w:val="15"/>
          <w:rFonts w:hint="eastAsia" w:ascii="仿宋" w:hAnsi="仿宋" w:eastAsia="仿宋"/>
          <w:b w:val="0"/>
          <w:bCs/>
          <w:color w:val="000000"/>
          <w:sz w:val="32"/>
          <w:szCs w:val="32"/>
          <w:lang w:eastAsia="zh-CN"/>
        </w:rPr>
      </w:pPr>
      <w:r>
        <w:rPr>
          <w:rStyle w:val="15"/>
          <w:rFonts w:hint="eastAsia" w:ascii="仿宋" w:hAnsi="仿宋" w:eastAsia="仿宋"/>
          <w:bCs/>
          <w:color w:val="000000"/>
          <w:sz w:val="32"/>
          <w:szCs w:val="32"/>
          <w:lang w:val="en-US" w:eastAsia="zh-CN"/>
        </w:rPr>
        <w:t>17</w:t>
      </w:r>
      <w:r>
        <w:rPr>
          <w:rStyle w:val="15"/>
          <w:rFonts w:ascii="仿宋" w:hAnsi="仿宋" w:eastAsia="仿宋"/>
          <w:bCs/>
          <w:color w:val="000000"/>
          <w:sz w:val="32"/>
          <w:szCs w:val="32"/>
        </w:rPr>
        <w:t>.</w:t>
      </w:r>
      <w:r>
        <w:rPr>
          <w:rStyle w:val="15"/>
          <w:rFonts w:hint="eastAsia" w:ascii="仿宋" w:hAnsi="仿宋" w:eastAsia="仿宋"/>
          <w:bCs/>
          <w:color w:val="000000"/>
          <w:sz w:val="32"/>
          <w:szCs w:val="32"/>
          <w:lang w:eastAsia="zh-CN"/>
        </w:rPr>
        <w:t>住房保障支出</w:t>
      </w:r>
      <w:r>
        <w:rPr>
          <w:rStyle w:val="15"/>
          <w:rFonts w:hint="eastAsia" w:ascii="仿宋" w:hAnsi="仿宋" w:eastAsia="仿宋"/>
          <w:bCs/>
          <w:color w:val="000000"/>
          <w:sz w:val="32"/>
          <w:szCs w:val="32"/>
        </w:rPr>
        <w:t>（类）</w:t>
      </w:r>
      <w:r>
        <w:rPr>
          <w:rStyle w:val="15"/>
          <w:rFonts w:hint="eastAsia" w:ascii="仿宋" w:hAnsi="仿宋" w:eastAsia="仿宋"/>
          <w:bCs/>
          <w:color w:val="000000"/>
          <w:sz w:val="32"/>
          <w:szCs w:val="32"/>
          <w:lang w:eastAsia="zh-CN"/>
        </w:rPr>
        <w:t>住房改革支出</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住房补贴</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27.13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tabs>
          <w:tab w:val="right" w:pos="8306"/>
        </w:tabs>
        <w:spacing w:line="600" w:lineRule="exact"/>
        <w:ind w:firstLine="640"/>
        <w:outlineLvl w:val="1"/>
        <w:rPr>
          <w:rStyle w:val="20"/>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0"/>
          <w:rFonts w:hint="eastAsia" w:ascii="黑体" w:hAnsi="黑体" w:eastAsia="黑体"/>
          <w:b w:val="0"/>
        </w:rPr>
        <w:t>般公共预算财政拨款基本支出决算情况说明</w:t>
      </w:r>
      <w:bookmarkEnd w:id="40"/>
      <w:bookmarkEnd w:id="41"/>
      <w:r>
        <w:rPr>
          <w:rStyle w:val="20"/>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2603.21</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2431.28</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171.93</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0"/>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0"/>
          <w:rFonts w:hint="eastAsia" w:ascii="黑体" w:hAnsi="黑体" w:eastAsia="黑体"/>
        </w:rPr>
        <w:t>“</w:t>
      </w:r>
      <w:r>
        <w:rPr>
          <w:rStyle w:val="20"/>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584.56</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704.80</w:t>
      </w:r>
      <w:r>
        <w:rPr>
          <w:rFonts w:ascii="仿宋" w:hAnsi="仿宋" w:eastAsia="仿宋"/>
          <w:color w:val="000000"/>
          <w:sz w:val="32"/>
          <w:szCs w:val="32"/>
        </w:rPr>
        <w:t>%</w:t>
      </w:r>
      <w:r>
        <w:rPr>
          <w:rFonts w:hint="eastAsia" w:ascii="仿宋" w:hAnsi="仿宋" w:eastAsia="仿宋"/>
          <w:color w:val="000000"/>
          <w:sz w:val="32"/>
          <w:szCs w:val="32"/>
        </w:rPr>
        <w:t>，决算数</w:t>
      </w:r>
      <w:r>
        <w:rPr>
          <w:rFonts w:hint="eastAsia" w:ascii="仿宋" w:hAnsi="仿宋" w:eastAsia="仿宋"/>
          <w:color w:val="000000"/>
          <w:sz w:val="32"/>
          <w:szCs w:val="32"/>
          <w:lang w:eastAsia="zh-CN"/>
        </w:rPr>
        <w:t>大</w:t>
      </w:r>
      <w:r>
        <w:rPr>
          <w:rFonts w:hint="eastAsia" w:ascii="仿宋" w:hAnsi="仿宋" w:eastAsia="仿宋"/>
          <w:color w:val="000000"/>
          <w:sz w:val="32"/>
          <w:szCs w:val="32"/>
        </w:rPr>
        <w:t>于预算数的主要原因是</w:t>
      </w:r>
      <w:r>
        <w:rPr>
          <w:rFonts w:hint="eastAsia" w:ascii="仿宋" w:hAnsi="仿宋" w:eastAsia="仿宋"/>
          <w:color w:val="000000"/>
          <w:sz w:val="32"/>
          <w:szCs w:val="32"/>
          <w:lang w:eastAsia="zh-CN"/>
        </w:rPr>
        <w:t>省级财政食品药品监管补助资金用于系统能力建设，为基层监管所购买执法车辆</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万元；公务用车购置及运行维护费支出决算</w:t>
      </w:r>
      <w:r>
        <w:rPr>
          <w:rFonts w:hint="eastAsia" w:ascii="仿宋" w:hAnsi="仿宋" w:eastAsia="仿宋"/>
          <w:color w:val="000000"/>
          <w:sz w:val="32"/>
          <w:szCs w:val="32"/>
          <w:lang w:val="en-US" w:eastAsia="zh-CN"/>
        </w:rPr>
        <w:t>580.57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99.32</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3.99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0.68</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因公出国（境）支出决算</w:t>
      </w:r>
      <w:r>
        <w:rPr>
          <w:rFonts w:hint="eastAsia" w:ascii="仿宋_GB2312" w:eastAsia="仿宋_GB2312"/>
          <w:color w:val="000000"/>
          <w:sz w:val="32"/>
          <w:szCs w:val="32"/>
          <w:lang w:eastAsia="zh-CN"/>
        </w:rPr>
        <w:t>与</w:t>
      </w:r>
      <w:r>
        <w:rPr>
          <w:rFonts w:ascii="仿宋_GB2312" w:eastAsia="仿宋_GB2312"/>
          <w:color w:val="000000"/>
          <w:sz w:val="32"/>
          <w:szCs w:val="32"/>
        </w:rPr>
        <w:t>2017</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持平</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580.57</w:t>
      </w:r>
      <w:r>
        <w:rPr>
          <w:rFonts w:hint="eastAsia" w:ascii="仿宋_GB2312" w:eastAsia="仿宋_GB2312"/>
          <w:color w:val="000000"/>
          <w:sz w:val="32"/>
          <w:szCs w:val="32"/>
        </w:rPr>
        <w:t>万元</w:t>
      </w:r>
      <w:r>
        <w:rPr>
          <w:rFonts w:ascii="仿宋_GB2312" w:eastAsia="仿宋_GB2312"/>
          <w:color w:val="000000"/>
          <w:sz w:val="32"/>
          <w:szCs w:val="32"/>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952.69</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2017</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528.67</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1018.72</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 w:hAnsi="仿宋" w:eastAsia="仿宋"/>
          <w:color w:val="000000"/>
          <w:sz w:val="32"/>
          <w:szCs w:val="32"/>
          <w:lang w:eastAsia="zh-CN"/>
        </w:rPr>
        <w:t>省级财政食品药品监管补助资金用于系统能力建设，为基层监管所购买执法车辆</w:t>
      </w:r>
      <w:r>
        <w:rPr>
          <w:rFonts w:hint="eastAsia" w:ascii="仿宋_GB2312" w:eastAsia="仿宋_GB2312"/>
          <w:color w:val="000000"/>
          <w:sz w:val="32"/>
          <w:szCs w:val="32"/>
        </w:rPr>
        <w:t>。</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536.33</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54</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45</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352.28</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184.05</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主要用于</w:t>
      </w:r>
      <w:r>
        <w:rPr>
          <w:rFonts w:hint="eastAsia" w:ascii="仿宋" w:hAnsi="仿宋" w:eastAsia="仿宋"/>
          <w:color w:val="000000"/>
          <w:sz w:val="32"/>
          <w:szCs w:val="32"/>
          <w:lang w:eastAsia="zh-CN"/>
        </w:rPr>
        <w:t>基层食品药品监管所执法办案所需</w:t>
      </w:r>
      <w:r>
        <w:rPr>
          <w:rFonts w:hint="eastAsia" w:ascii="仿宋_GB2312" w:eastAsia="仿宋_GB2312"/>
          <w:color w:val="000000"/>
          <w:sz w:val="32"/>
          <w:szCs w:val="32"/>
        </w:rPr>
        <w:t>。截至2018年12月底，单位共有公务用车</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、其他车型</w:t>
      </w:r>
      <w:r>
        <w:rPr>
          <w:rFonts w:hint="eastAsia" w:ascii="仿宋_GB2312" w:eastAsia="仿宋_GB2312"/>
          <w:color w:val="000000"/>
          <w:sz w:val="32"/>
          <w:szCs w:val="32"/>
          <w:lang w:val="en-US" w:eastAsia="zh-CN"/>
        </w:rPr>
        <w:t>1辆</w:t>
      </w:r>
      <w:r>
        <w:rPr>
          <w:rFonts w:hint="eastAsia" w:ascii="仿宋_GB2312" w:eastAsia="仿宋_GB2312"/>
          <w:color w:val="000000"/>
          <w:sz w:val="32"/>
          <w:szCs w:val="32"/>
        </w:rPr>
        <w:t>。</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44.24</w:t>
      </w:r>
      <w:r>
        <w:rPr>
          <w:rFonts w:hint="eastAsia" w:ascii="仿宋_GB2312" w:eastAsia="仿宋_GB2312"/>
          <w:color w:val="000000"/>
          <w:sz w:val="32"/>
          <w:szCs w:val="32"/>
        </w:rPr>
        <w:t>万元。主要用于</w:t>
      </w:r>
      <w:r>
        <w:rPr>
          <w:rFonts w:hint="eastAsia" w:ascii="仿宋_GB2312" w:hAnsi="宋体" w:eastAsia="仿宋_GB2312" w:cs="宋体"/>
          <w:kern w:val="0"/>
          <w:sz w:val="32"/>
          <w:szCs w:val="32"/>
        </w:rPr>
        <w:t>保障执法办案、市场检查、监督抽样、检测检验、药品不良反应监测、日常公务</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3.99</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18.14</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2017</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2.00</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33.37</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333333"/>
          <w:sz w:val="32"/>
          <w:szCs w:val="32"/>
          <w:lang w:eastAsia="zh-CN"/>
        </w:rPr>
        <w:t>厉行节约，</w:t>
      </w:r>
      <w:r>
        <w:rPr>
          <w:rFonts w:hint="eastAsia" w:ascii="仿宋" w:hAnsi="仿宋" w:eastAsia="仿宋"/>
          <w:sz w:val="32"/>
          <w:szCs w:val="32"/>
          <w:lang w:eastAsia="zh-CN"/>
        </w:rPr>
        <w:t>严格执行标准和规定</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34</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264</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3.99</w:t>
      </w:r>
      <w:r>
        <w:rPr>
          <w:rFonts w:hint="eastAsia" w:ascii="仿宋_GB2312" w:eastAsia="仿宋_GB2312"/>
          <w:color w:val="000000"/>
          <w:sz w:val="32"/>
          <w:szCs w:val="32"/>
        </w:rPr>
        <w:t>万元，具体内容包括：</w:t>
      </w:r>
      <w:r>
        <w:rPr>
          <w:rFonts w:hint="eastAsia" w:ascii="仿宋_GB2312" w:hAnsi="宋体" w:eastAsia="仿宋_GB2312" w:cs="宋体"/>
          <w:kern w:val="0"/>
          <w:sz w:val="32"/>
          <w:szCs w:val="32"/>
        </w:rPr>
        <w:t>接待上级部门的督查、检查、调研；与省外、市外兄弟单位开展工作交流；部门联合执法办案、食品医药产业发展项目招商以及其他必要的公务接待</w:t>
      </w:r>
      <w:r>
        <w:rPr>
          <w:rFonts w:hint="eastAsia" w:ascii="仿宋_GB2312" w:eastAsia="仿宋_GB2312"/>
          <w:color w:val="000000"/>
          <w:sz w:val="32"/>
          <w:szCs w:val="32"/>
        </w:rPr>
        <w:t>。其中：</w:t>
      </w:r>
    </w:p>
    <w:p>
      <w:pPr>
        <w:spacing w:line="600" w:lineRule="exact"/>
        <w:ind w:firstLine="643" w:firstLineChars="200"/>
        <w:rPr>
          <w:rFonts w:hint="eastAsia" w:ascii="仿宋_GB2312" w:eastAsia="仿宋_GB2312"/>
          <w:color w:val="000000"/>
          <w:sz w:val="32"/>
          <w:szCs w:val="32"/>
          <w:lang w:val="en-US" w:eastAsia="zh-CN"/>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w:t>
      </w:r>
    </w:p>
    <w:p>
      <w:pPr>
        <w:spacing w:line="600" w:lineRule="exact"/>
        <w:ind w:firstLine="640"/>
        <w:rPr>
          <w:rFonts w:ascii="黑体" w:eastAsia="黑体"/>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lang w:val="en-US" w:eastAsia="zh-CN"/>
        </w:rPr>
        <w:t>3.99</w:t>
      </w:r>
      <w:r>
        <w:rPr>
          <w:rFonts w:hint="eastAsia" w:ascii="仿宋_GB2312" w:eastAsia="仿宋_GB2312"/>
          <w:color w:val="000000"/>
          <w:sz w:val="32"/>
          <w:szCs w:val="32"/>
        </w:rPr>
        <w:t>万元，主要用于</w:t>
      </w:r>
      <w:r>
        <w:rPr>
          <w:rFonts w:hint="eastAsia" w:ascii="仿宋_GB2312" w:hAnsi="宋体" w:eastAsia="仿宋_GB2312" w:cs="宋体"/>
          <w:kern w:val="0"/>
          <w:sz w:val="32"/>
          <w:szCs w:val="32"/>
        </w:rPr>
        <w:t>接待上级部门的督查、检查、调研；与省外、市外兄弟单位开展工作交流；部门联合执法办案、食品医药产业发展项目招商以及其他必要的公务接待</w:t>
      </w:r>
      <w:r>
        <w:rPr>
          <w:rFonts w:hint="eastAsia" w:ascii="仿宋_GB2312" w:eastAsia="仿宋_GB2312"/>
          <w:color w:val="000000"/>
          <w:sz w:val="32"/>
          <w:szCs w:val="32"/>
        </w:rPr>
        <w:t>。</w:t>
      </w:r>
      <w:bookmarkStart w:id="46" w:name="_Toc15396610"/>
      <w:bookmarkStart w:id="47" w:name="_Toc15377218"/>
    </w:p>
    <w:p>
      <w:pPr>
        <w:spacing w:line="600" w:lineRule="exact"/>
        <w:ind w:firstLine="640"/>
        <w:outlineLvl w:val="1"/>
        <w:rPr>
          <w:rStyle w:val="20"/>
          <w:rFonts w:ascii="黑体" w:hAnsi="黑体" w:eastAsia="黑体"/>
        </w:rPr>
      </w:pPr>
      <w:r>
        <w:rPr>
          <w:rFonts w:hint="eastAsia" w:ascii="黑体" w:eastAsia="黑体"/>
          <w:color w:val="000000"/>
          <w:sz w:val="32"/>
          <w:szCs w:val="32"/>
        </w:rPr>
        <w:t>八、</w:t>
      </w:r>
      <w:r>
        <w:rPr>
          <w:rStyle w:val="20"/>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3"/>
        </w:numPr>
        <w:spacing w:line="600" w:lineRule="exact"/>
        <w:ind w:firstLine="640"/>
        <w:outlineLvl w:val="1"/>
        <w:rPr>
          <w:rStyle w:val="20"/>
          <w:rFonts w:ascii="黑体" w:hAnsi="黑体" w:eastAsia="黑体"/>
          <w:b w:val="0"/>
        </w:rPr>
      </w:pPr>
      <w:bookmarkStart w:id="48" w:name="_Toc15396611"/>
      <w:bookmarkStart w:id="49" w:name="_Toc15377219"/>
      <w:r>
        <w:rPr>
          <w:rStyle w:val="20"/>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9"/>
        <w:numPr>
          <w:ilvl w:val="0"/>
          <w:numId w:val="4"/>
        </w:numPr>
        <w:spacing w:line="580" w:lineRule="exact"/>
        <w:ind w:firstLineChars="0"/>
        <w:rPr>
          <w:rStyle w:val="20"/>
          <w:rFonts w:ascii="黑体" w:hAnsi="黑体" w:eastAsia="黑体"/>
          <w:b w:val="0"/>
          <w:color w:val="auto"/>
        </w:rPr>
      </w:pPr>
      <w:r>
        <w:rPr>
          <w:rStyle w:val="20"/>
          <w:rFonts w:hint="eastAsia" w:ascii="黑体" w:hAnsi="黑体" w:eastAsia="黑体"/>
          <w:b w:val="0"/>
          <w:color w:val="auto"/>
        </w:rPr>
        <w:t>预算绩效情况说明</w:t>
      </w:r>
    </w:p>
    <w:p>
      <w:pPr>
        <w:numPr>
          <w:ilvl w:val="0"/>
          <w:numId w:val="5"/>
        </w:numPr>
        <w:spacing w:line="580" w:lineRule="exact"/>
        <w:ind w:firstLine="643" w:firstLineChars="200"/>
        <w:rPr>
          <w:rFonts w:ascii="仿宋" w:hAnsi="仿宋" w:eastAsia="仿宋" w:cs="楷体_GB2312"/>
          <w:b/>
          <w:bCs/>
          <w:color w:val="auto"/>
          <w:sz w:val="32"/>
          <w:szCs w:val="32"/>
        </w:rPr>
      </w:pPr>
      <w:r>
        <w:rPr>
          <w:rFonts w:hint="eastAsia" w:ascii="仿宋" w:hAnsi="仿宋" w:eastAsia="仿宋" w:cs="楷体_GB2312"/>
          <w:b/>
          <w:bCs/>
          <w:color w:val="auto"/>
          <w:sz w:val="32"/>
          <w:szCs w:val="32"/>
        </w:rPr>
        <w:t>预算绩效管理工作开展情况。</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根据预算绩效管理要求，</w:t>
      </w:r>
      <w:r>
        <w:rPr>
          <w:rFonts w:hint="eastAsia" w:ascii="仿宋_GB2312" w:hAnsi="仿宋_GB2312" w:eastAsia="仿宋_GB2312" w:cs="仿宋_GB2312"/>
          <w:color w:val="auto"/>
          <w:sz w:val="32"/>
          <w:szCs w:val="32"/>
          <w:lang w:eastAsia="zh-CN"/>
        </w:rPr>
        <w:t>我局</w:t>
      </w:r>
      <w:r>
        <w:rPr>
          <w:rFonts w:hint="eastAsia" w:ascii="仿宋_GB2312" w:hAnsi="仿宋_GB2312" w:eastAsia="仿宋_GB2312" w:cs="仿宋_GB2312"/>
          <w:color w:val="auto"/>
          <w:sz w:val="32"/>
          <w:szCs w:val="32"/>
        </w:rPr>
        <w:t>在年初预算编制阶段，对</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个项目编制了绩效目标，年终执行完毕后，对</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个项目开展了绩效目标完成情况梳理填报。</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我局</w:t>
      </w:r>
      <w:r>
        <w:rPr>
          <w:rFonts w:hint="eastAsia" w:ascii="仿宋_GB2312" w:hAnsi="仿宋_GB2312" w:eastAsia="仿宋_GB2312" w:cs="仿宋_GB2312"/>
          <w:color w:val="auto"/>
          <w:sz w:val="32"/>
          <w:szCs w:val="32"/>
        </w:rPr>
        <w:t>按要求对</w:t>
      </w:r>
      <w:r>
        <w:rPr>
          <w:rFonts w:ascii="仿宋_GB2312" w:hAnsi="仿宋_GB2312" w:eastAsia="仿宋_GB2312" w:cs="仿宋_GB2312"/>
          <w:color w:val="auto"/>
          <w:sz w:val="32"/>
          <w:szCs w:val="32"/>
        </w:rPr>
        <w:t>2018</w:t>
      </w:r>
      <w:r>
        <w:rPr>
          <w:rFonts w:hint="eastAsia" w:ascii="仿宋_GB2312" w:hAnsi="仿宋_GB2312" w:eastAsia="仿宋_GB2312" w:cs="仿宋_GB2312"/>
          <w:color w:val="auto"/>
          <w:sz w:val="32"/>
          <w:szCs w:val="32"/>
        </w:rPr>
        <w:t>年部门整体支出开展绩效自评，从评价情况来看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我局2018年部门预算整体支出资金政策依据充分，绩效目标明确，资金使用和项目管理比较规范。</w:t>
      </w:r>
    </w:p>
    <w:p>
      <w:pPr>
        <w:numPr>
          <w:ilvl w:val="0"/>
          <w:numId w:val="5"/>
        </w:numPr>
        <w:spacing w:line="580" w:lineRule="exact"/>
        <w:ind w:firstLine="643" w:firstLineChars="200"/>
        <w:rPr>
          <w:rFonts w:hint="eastAsia" w:ascii="仿宋_GB2312" w:hAnsi="仿宋_GB2312" w:eastAsia="仿宋_GB2312" w:cs="仿宋_GB2312"/>
          <w:color w:val="auto"/>
          <w:sz w:val="32"/>
          <w:szCs w:val="32"/>
        </w:rPr>
      </w:pPr>
      <w:r>
        <w:rPr>
          <w:rFonts w:hint="eastAsia" w:ascii="仿宋" w:hAnsi="仿宋" w:eastAsia="仿宋" w:cs="楷体_GB2312"/>
          <w:b/>
          <w:bCs/>
          <w:color w:val="auto"/>
          <w:sz w:val="32"/>
          <w:szCs w:val="32"/>
        </w:rPr>
        <w:t>项目绩效目标完成情况。</w:t>
      </w:r>
      <w:r>
        <w:rPr>
          <w:rFonts w:ascii="楷体_GB2312" w:hAnsi="楷体_GB2312" w:eastAsia="楷体_GB2312" w:cs="楷体_GB2312"/>
          <w:b/>
          <w:bCs/>
          <w:color w:val="auto"/>
          <w:sz w:val="32"/>
          <w:szCs w:val="32"/>
        </w:rPr>
        <w:br w:type="textWrapping"/>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本部门在</w:t>
      </w:r>
      <w:r>
        <w:rPr>
          <w:rFonts w:ascii="仿宋_GB2312" w:hAnsi="仿宋_GB2312" w:eastAsia="仿宋_GB2312" w:cs="仿宋_GB2312"/>
          <w:color w:val="auto"/>
          <w:sz w:val="32"/>
          <w:szCs w:val="32"/>
        </w:rPr>
        <w:t>2018</w:t>
      </w:r>
      <w:r>
        <w:rPr>
          <w:rFonts w:hint="eastAsia" w:ascii="仿宋_GB2312" w:hAnsi="仿宋_GB2312" w:eastAsia="仿宋_GB2312" w:cs="仿宋_GB2312"/>
          <w:color w:val="auto"/>
          <w:sz w:val="32"/>
          <w:szCs w:val="32"/>
        </w:rPr>
        <w:t>年度部门决算中反映“</w:t>
      </w:r>
      <w:r>
        <w:rPr>
          <w:rFonts w:hint="eastAsia" w:ascii="仿宋_GB2312" w:hAnsi="仿宋_GB2312" w:eastAsia="仿宋_GB2312" w:cs="仿宋_GB2312"/>
          <w:color w:val="auto"/>
          <w:sz w:val="32"/>
          <w:szCs w:val="32"/>
          <w:lang w:eastAsia="zh-CN"/>
        </w:rPr>
        <w:t>药品综合监管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化妆品综合监管”“医疗器械综合监管”</w:t>
      </w:r>
      <w:r>
        <w:rPr>
          <w:rFonts w:hint="eastAsia" w:ascii="仿宋_GB2312" w:hAnsi="仿宋_GB2312" w:eastAsia="仿宋_GB2312" w:cs="仿宋_GB2312"/>
          <w:color w:val="auto"/>
          <w:sz w:val="32"/>
          <w:szCs w:val="32"/>
          <w:lang w:eastAsia="zh-CN"/>
        </w:rPr>
        <w:t>“食品综合监管”“食品药品安全宣传”</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个项目绩效目标实际完成情况。</w:t>
      </w:r>
    </w:p>
    <w:p>
      <w:pPr>
        <w:numPr>
          <w:ilvl w:val="0"/>
          <w:numId w:val="0"/>
        </w:numPr>
        <w:spacing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药品综合监管</w:t>
      </w:r>
      <w:r>
        <w:rPr>
          <w:rFonts w:hint="eastAsia" w:ascii="仿宋_GB2312" w:hAnsi="仿宋_GB2312" w:eastAsia="仿宋_GB2312" w:cs="仿宋_GB2312"/>
          <w:color w:val="auto"/>
          <w:sz w:val="32"/>
          <w:szCs w:val="32"/>
        </w:rPr>
        <w:t>项目绩效目标完成情况综述。项目全年预算数</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万元，执行数为</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%。通过项目实施，保障药品质量安全，提升药品质量水平，更好地解决</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lang w:val="en-US" w:eastAsia="zh-CN"/>
        </w:rPr>
        <w:t>长期制约药品安全的深层次问题。发现的主要问题：财政资金绩效评价及其结果应用难。下一步改进措施：选择部分重点项目开展绩效评价试点，引入第三方机构共同制定指标体系，总结经验，逐步推开。</w:t>
      </w:r>
    </w:p>
    <w:p>
      <w:pPr>
        <w:numPr>
          <w:ilvl w:val="0"/>
          <w:numId w:val="0"/>
        </w:numPr>
        <w:spacing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化妆品综合监管项目绩效目标完成情况综述。项目全年预算数3万元，执行数为3万元，完成预算的100%。通过项目实施，逐步提高了化妆品生产经营水平，确保了化妆品质量安全长期得到有效保障。发现的主要问题：财政资金绩效评价及其结果应用难。下一步改进措施：选择部分重点项目开展绩效评价试点，引入第三方机构共同制定指标体系，总结经验，逐步推开。</w:t>
      </w:r>
    </w:p>
    <w:p>
      <w:pPr>
        <w:numPr>
          <w:ilvl w:val="0"/>
          <w:numId w:val="0"/>
        </w:numPr>
        <w:spacing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医疗器械综合监管项目绩效目标完成情况综述。项目全年预算数3万元，执行数为3万元，完成预算的100%。通过项目实施，保障了医疗器械使用的安全有效，提升医疗器械产品的质量水平，促进医疗器械产业健康有序的发展。发现的主要问题：财政资金绩效评价及其结果应用难。下一步改进措施：选择部分重点项目开展绩效评价试点，引入第三方机构共同制定指标体系，总结经验，逐步推开。</w:t>
      </w:r>
    </w:p>
    <w:p>
      <w:pPr>
        <w:numPr>
          <w:ilvl w:val="0"/>
          <w:numId w:val="0"/>
        </w:numPr>
        <w:spacing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食品综合监管项目绩效目标完成情况综述。项目全年预算数17万元，执行数为17万元，完成预算的100%。通过项目实施，食品质量安全日常监督检查工作得到加强，促进了食品安全保障能力提升，切实防范系统性、区域性风险，保障全市人民饮食安全。发现的主要问题：财政资金绩效评价及其结果应用难。下一步改进措施：选择部分重点项目开展绩效评价试点，引入第三方机构共同制定指标体系，总结经验，逐步推开。</w:t>
      </w:r>
    </w:p>
    <w:p>
      <w:pPr>
        <w:numPr>
          <w:ilvl w:val="0"/>
          <w:numId w:val="0"/>
        </w:numPr>
        <w:spacing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食品药品安全宣传项目绩效目标完成情况综述。项目全年预算数10万元，执行数为10万元，完成预算的100%。通过项目实施，广泛开展了宣传普及食品药品法律法规及安全知识，增强了公众饮食用药安全意识，有效抵制食品药品谣言和虚假广告的侵害，提高了公众饮食用药安全水平。发现的主要问题：财政资金绩效评价及其结果应用难。下一步改进措施：选择部分重点项目开展绩效评价试点，引入第三方机构共同制定指标体系，总结经验，逐步推开。</w:t>
      </w:r>
    </w:p>
    <w:p>
      <w:pPr>
        <w:numPr>
          <w:ilvl w:val="0"/>
          <w:numId w:val="0"/>
        </w:numPr>
        <w:spacing w:line="580" w:lineRule="exact"/>
        <w:rPr>
          <w:rFonts w:hint="eastAsia" w:ascii="仿宋_GB2312" w:hAnsi="仿宋_GB2312" w:eastAsia="仿宋_GB2312" w:cs="仿宋_GB2312"/>
          <w:color w:val="auto"/>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9"/>
              <w:widowControl/>
              <w:ind w:left="4173" w:leftChars="1310" w:hanging="1422" w:hangingChars="395"/>
              <w:textAlignment w:val="center"/>
              <w:rPr>
                <w:rFonts w:ascii="宋体" w:cs="宋体"/>
                <w:color w:val="auto"/>
                <w:sz w:val="36"/>
                <w:szCs w:val="36"/>
              </w:rPr>
            </w:pPr>
            <w:r>
              <w:rPr>
                <w:rFonts w:hint="eastAsia" w:ascii="黑体" w:hAnsi="黑体" w:eastAsia="黑体" w:cs="宋体"/>
                <w:bCs/>
                <w:color w:val="auto"/>
                <w:kern w:val="0"/>
                <w:sz w:val="36"/>
                <w:szCs w:val="36"/>
              </w:rPr>
              <w:t>项目支出绩效目标完成情况表</w:t>
            </w:r>
            <w:r>
              <w:rPr>
                <w:rFonts w:ascii="宋体" w:cs="宋体"/>
                <w:b/>
                <w:bCs/>
                <w:color w:val="auto"/>
                <w:kern w:val="0"/>
                <w:sz w:val="36"/>
                <w:szCs w:val="36"/>
              </w:rPr>
              <w:br w:type="textWrapping"/>
            </w:r>
            <w:r>
              <w:rPr>
                <w:rFonts w:ascii="宋体" w:hAnsi="宋体" w:cs="宋体"/>
                <w:color w:val="auto"/>
                <w:kern w:val="0"/>
                <w:sz w:val="36"/>
                <w:szCs w:val="36"/>
              </w:rPr>
              <w:t xml:space="preserve">(2018 </w:t>
            </w:r>
            <w:r>
              <w:rPr>
                <w:rFonts w:hint="eastAsia" w:ascii="宋体" w:hAnsi="宋体" w:cs="宋体"/>
                <w:color w:val="auto"/>
                <w:kern w:val="0"/>
                <w:sz w:val="36"/>
                <w:szCs w:val="36"/>
              </w:rPr>
              <w:t>年度</w:t>
            </w:r>
            <w:r>
              <w:rPr>
                <w:rFonts w:ascii="宋体" w:hAnsi="宋体" w:cs="宋体"/>
                <w:color w:val="auto"/>
                <w:kern w:val="0"/>
                <w:sz w:val="36"/>
                <w:szCs w:val="36"/>
              </w:rPr>
              <w:t>)</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2"/>
              <w:keepNext w:val="0"/>
              <w:keepLines w:val="0"/>
              <w:widowControl/>
              <w:suppressLineNumbers w:val="0"/>
              <w:wordWrap/>
              <w:spacing w:line="525" w:lineRule="atLeast"/>
              <w:jc w:val="center"/>
              <w:textAlignment w:val="center"/>
              <w:rPr>
                <w:rFonts w:ascii="宋体" w:cs="宋体"/>
                <w:color w:val="auto"/>
                <w:sz w:val="24"/>
              </w:rPr>
            </w:pPr>
            <w:r>
              <w:rPr>
                <w:rFonts w:ascii="微软雅黑" w:hAnsi="微软雅黑" w:eastAsia="微软雅黑" w:cs="微软雅黑"/>
                <w:color w:val="auto"/>
                <w:sz w:val="24"/>
                <w:szCs w:val="24"/>
              </w:rPr>
              <w:t>食品药品监管项目</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auto"/>
                <w:sz w:val="24"/>
                <w:lang w:eastAsia="zh-CN"/>
              </w:rPr>
            </w:pPr>
            <w:r>
              <w:rPr>
                <w:rFonts w:hint="eastAsia" w:ascii="宋体" w:cs="宋体"/>
                <w:color w:val="auto"/>
                <w:sz w:val="24"/>
                <w:lang w:eastAsia="zh-CN"/>
              </w:rPr>
              <w:t>原绵阳市食品药品监督管理局</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预算执行情况</w:t>
            </w:r>
            <w:r>
              <w:rPr>
                <w:rFonts w:ascii="宋体" w:hAnsi="宋体" w:cs="宋体"/>
                <w:color w:val="auto"/>
                <w:kern w:val="0"/>
                <w:sz w:val="24"/>
              </w:rPr>
              <w:t>(</w:t>
            </w:r>
            <w:r>
              <w:rPr>
                <w:rFonts w:hint="eastAsia" w:ascii="宋体" w:hAnsi="宋体" w:cs="宋体"/>
                <w:color w:val="auto"/>
                <w:kern w:val="0"/>
                <w:sz w:val="24"/>
              </w:rPr>
              <w:t>万元</w:t>
            </w:r>
            <w:r>
              <w:rPr>
                <w:rFonts w:ascii="宋体" w:hAnsi="宋体" w:cs="宋体"/>
                <w:color w:val="auto"/>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预算数</w:t>
            </w:r>
            <w:r>
              <w:rPr>
                <w:rFonts w:ascii="宋体" w:hAnsi="宋体" w:cs="宋体"/>
                <w:color w:val="auto"/>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41万元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执行数</w:t>
            </w:r>
            <w:r>
              <w:rPr>
                <w:rFonts w:ascii="宋体" w:hAnsi="宋体" w:cs="宋体"/>
                <w:color w:val="auto"/>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41万元</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其中</w:t>
            </w:r>
            <w:r>
              <w:rPr>
                <w:rFonts w:ascii="宋体" w:cs="宋体"/>
                <w:color w:val="auto"/>
                <w:kern w:val="0"/>
                <w:sz w:val="24"/>
              </w:rPr>
              <w:t>-</w:t>
            </w:r>
            <w:r>
              <w:rPr>
                <w:rFonts w:hint="eastAsia" w:ascii="宋体" w:hAnsi="宋体" w:cs="宋体"/>
                <w:color w:val="auto"/>
                <w:kern w:val="0"/>
                <w:sz w:val="24"/>
              </w:rPr>
              <w:t>财政拨款</w:t>
            </w:r>
            <w:r>
              <w:rPr>
                <w:rFonts w:ascii="宋体" w:hAnsi="宋体" w:cs="宋体"/>
                <w:color w:val="auto"/>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41万元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其中</w:t>
            </w:r>
            <w:r>
              <w:rPr>
                <w:rFonts w:ascii="宋体" w:cs="宋体"/>
                <w:color w:val="auto"/>
                <w:kern w:val="0"/>
                <w:sz w:val="24"/>
              </w:rPr>
              <w:t>-</w:t>
            </w:r>
            <w:r>
              <w:rPr>
                <w:rFonts w:hint="eastAsia" w:ascii="宋体" w:hAnsi="宋体" w:cs="宋体"/>
                <w:color w:val="auto"/>
                <w:kern w:val="0"/>
                <w:sz w:val="24"/>
              </w:rPr>
              <w:t>财政拨款</w:t>
            </w:r>
            <w:r>
              <w:rPr>
                <w:rFonts w:ascii="宋体" w:hAnsi="宋体" w:cs="宋体"/>
                <w:color w:val="auto"/>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41万元</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其它资金</w:t>
            </w:r>
            <w:r>
              <w:rPr>
                <w:rFonts w:ascii="宋体" w:hAnsi="宋体" w:cs="宋体"/>
                <w:color w:val="auto"/>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ascii="宋体" w:cs="宋体"/>
                <w:color w:val="auto"/>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其它资金</w:t>
            </w:r>
            <w:r>
              <w:rPr>
                <w:rFonts w:ascii="宋体" w:hAnsi="宋体" w:cs="宋体"/>
                <w:color w:val="auto"/>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eastAsia="宋体" w:cs="宋体"/>
                <w:color w:val="auto"/>
                <w:sz w:val="24"/>
                <w:lang w:val="en-US" w:eastAsia="zh-CN"/>
              </w:rPr>
            </w:pPr>
            <w:r>
              <w:rPr>
                <w:rFonts w:hint="eastAsia" w:ascii="宋体" w:cs="宋体"/>
                <w:color w:val="auto"/>
                <w:sz w:val="24"/>
                <w:lang w:val="en-US" w:eastAsia="zh-CN"/>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numPr>
                <w:ilvl w:val="0"/>
                <w:numId w:val="0"/>
              </w:numPr>
              <w:jc w:val="left"/>
              <w:textAlignment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1.</w:t>
            </w:r>
            <w:r>
              <w:rPr>
                <w:rFonts w:hint="eastAsia" w:ascii="宋体" w:hAnsi="宋体" w:cs="宋体"/>
                <w:color w:val="auto"/>
                <w:kern w:val="0"/>
                <w:sz w:val="24"/>
              </w:rPr>
              <w:t>保障药品质量安全，提升药品质量水平，更好地解决</w:t>
            </w:r>
            <w:r>
              <w:rPr>
                <w:rFonts w:hint="eastAsia" w:ascii="宋体" w:hAnsi="宋体" w:cs="宋体"/>
                <w:color w:val="auto"/>
                <w:kern w:val="0"/>
                <w:sz w:val="24"/>
                <w:lang w:val="en-US" w:eastAsia="zh-CN"/>
              </w:rPr>
              <w:t>长期制约药品安全的深层次问题。</w:t>
            </w:r>
          </w:p>
          <w:p>
            <w:pPr>
              <w:widowControl/>
              <w:numPr>
                <w:ilvl w:val="0"/>
                <w:numId w:val="0"/>
              </w:numPr>
              <w:jc w:val="left"/>
              <w:textAlignment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2.逐步提高化妆品生产经营水平，确保化妆品质量安全长期得到有效保障。</w:t>
            </w:r>
          </w:p>
          <w:p>
            <w:pPr>
              <w:widowControl/>
              <w:numPr>
                <w:ilvl w:val="0"/>
                <w:numId w:val="0"/>
              </w:numPr>
              <w:jc w:val="left"/>
              <w:textAlignment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3.保障医疗器械使用的安全有效，提升医疗器械产品的质量水平，促进医疗器械产业健康有序的发展。</w:t>
            </w:r>
          </w:p>
          <w:p>
            <w:pPr>
              <w:widowControl/>
              <w:numPr>
                <w:ilvl w:val="0"/>
                <w:numId w:val="0"/>
              </w:numPr>
              <w:jc w:val="left"/>
              <w:textAlignment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4.加强食品质量安全日常监督检查工作，促进食品安全保障能力提升，切实防范系统性、区域性风险，保障全市人民饮食安全。</w:t>
            </w:r>
          </w:p>
          <w:p>
            <w:pPr>
              <w:widowControl/>
              <w:numPr>
                <w:ilvl w:val="0"/>
                <w:numId w:val="0"/>
              </w:numPr>
              <w:jc w:val="left"/>
              <w:textAlignment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5.广泛宣传普及食品药品法律法规及安全知识，增强公众饮食用药安全意识，抵制食品药品谣言和虚假广告的侵害，提高公众饮食用药安全水平。</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numPr>
                <w:ilvl w:val="0"/>
                <w:numId w:val="0"/>
              </w:numPr>
              <w:jc w:val="left"/>
              <w:textAlignment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1.</w:t>
            </w:r>
            <w:r>
              <w:rPr>
                <w:rFonts w:hint="eastAsia" w:ascii="宋体" w:hAnsi="宋体" w:cs="宋体"/>
                <w:color w:val="auto"/>
                <w:kern w:val="0"/>
                <w:sz w:val="24"/>
              </w:rPr>
              <w:t>保障</w:t>
            </w:r>
            <w:r>
              <w:rPr>
                <w:rFonts w:hint="eastAsia" w:ascii="宋体" w:hAnsi="宋体" w:cs="宋体"/>
                <w:color w:val="auto"/>
                <w:kern w:val="0"/>
                <w:sz w:val="24"/>
                <w:lang w:eastAsia="zh-CN"/>
              </w:rPr>
              <w:t>了</w:t>
            </w:r>
            <w:r>
              <w:rPr>
                <w:rFonts w:hint="eastAsia" w:ascii="宋体" w:hAnsi="宋体" w:cs="宋体"/>
                <w:color w:val="auto"/>
                <w:kern w:val="0"/>
                <w:sz w:val="24"/>
              </w:rPr>
              <w:t>药品质量安全，提升</w:t>
            </w:r>
            <w:r>
              <w:rPr>
                <w:rFonts w:hint="eastAsia" w:ascii="宋体" w:hAnsi="宋体" w:cs="宋体"/>
                <w:color w:val="auto"/>
                <w:kern w:val="0"/>
                <w:sz w:val="24"/>
                <w:lang w:eastAsia="zh-CN"/>
              </w:rPr>
              <w:t>了</w:t>
            </w:r>
            <w:r>
              <w:rPr>
                <w:rFonts w:hint="eastAsia" w:ascii="宋体" w:hAnsi="宋体" w:cs="宋体"/>
                <w:color w:val="auto"/>
                <w:kern w:val="0"/>
                <w:sz w:val="24"/>
              </w:rPr>
              <w:t>药品质量水平，更好地解决</w:t>
            </w:r>
            <w:r>
              <w:rPr>
                <w:rFonts w:hint="eastAsia" w:ascii="宋体" w:hAnsi="宋体" w:cs="宋体"/>
                <w:color w:val="auto"/>
                <w:kern w:val="0"/>
                <w:sz w:val="24"/>
                <w:lang w:eastAsia="zh-CN"/>
              </w:rPr>
              <w:t>了</w:t>
            </w:r>
            <w:r>
              <w:rPr>
                <w:rFonts w:hint="eastAsia" w:ascii="宋体" w:hAnsi="宋体" w:cs="宋体"/>
                <w:color w:val="auto"/>
                <w:kern w:val="0"/>
                <w:sz w:val="24"/>
                <w:lang w:val="en-US" w:eastAsia="zh-CN"/>
              </w:rPr>
              <w:t>长期制约药品安全的深层次问题。</w:t>
            </w:r>
          </w:p>
          <w:p>
            <w:pPr>
              <w:widowControl/>
              <w:numPr>
                <w:ilvl w:val="0"/>
                <w:numId w:val="0"/>
              </w:numPr>
              <w:jc w:val="left"/>
              <w:textAlignment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2.逐步提高了化妆品生产经营水平，确保了化妆品质量安全长期得到有效保障。</w:t>
            </w:r>
          </w:p>
          <w:p>
            <w:pPr>
              <w:widowControl/>
              <w:numPr>
                <w:ilvl w:val="0"/>
                <w:numId w:val="0"/>
              </w:numPr>
              <w:jc w:val="left"/>
              <w:textAlignment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3.保障了医疗器械使用的安全有效，提升了医疗器械产品的质量水平，促进了医疗器械产业健康有序的发展。</w:t>
            </w:r>
          </w:p>
          <w:p>
            <w:pPr>
              <w:widowControl/>
              <w:numPr>
                <w:ilvl w:val="0"/>
                <w:numId w:val="0"/>
              </w:numPr>
              <w:jc w:val="left"/>
              <w:textAlignment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4.食品质量安全日常监督检查工作得到加强，促进食品安全保障能力提升，切实防范系统性、区域性风险，保障全市人民饮食安全。</w:t>
            </w:r>
          </w:p>
          <w:p>
            <w:pPr>
              <w:widowControl/>
              <w:numPr>
                <w:ilvl w:val="0"/>
                <w:numId w:val="0"/>
              </w:numPr>
              <w:jc w:val="both"/>
              <w:textAlignment w:val="center"/>
              <w:rPr>
                <w:rFonts w:hint="eastAsia" w:ascii="宋体" w:hAnsi="宋体" w:cs="宋体"/>
                <w:color w:val="auto"/>
                <w:kern w:val="0"/>
                <w:sz w:val="24"/>
              </w:rPr>
            </w:pPr>
            <w:r>
              <w:rPr>
                <w:rFonts w:hint="eastAsia" w:ascii="宋体" w:hAnsi="宋体" w:cs="宋体"/>
                <w:color w:val="auto"/>
                <w:kern w:val="0"/>
                <w:sz w:val="24"/>
                <w:lang w:val="en-US" w:eastAsia="zh-CN"/>
              </w:rPr>
              <w:t>5.广泛开展宣传普及食品药品法律法规及安全知识，增强了公众饮食用药安全意识，有效抵制食品药品谣言和虚假广告的侵害，提高了公众饮食用药安全水平。</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预期指标值</w:t>
            </w:r>
            <w:r>
              <w:rPr>
                <w:rFonts w:ascii="宋体" w:hAnsi="宋体" w:cs="宋体"/>
                <w:color w:val="auto"/>
                <w:kern w:val="0"/>
                <w:sz w:val="24"/>
              </w:rPr>
              <w:t>(</w:t>
            </w:r>
            <w:r>
              <w:rPr>
                <w:rFonts w:hint="eastAsia" w:ascii="宋体" w:hAnsi="宋体" w:cs="宋体"/>
                <w:color w:val="auto"/>
                <w:kern w:val="0"/>
                <w:sz w:val="24"/>
              </w:rPr>
              <w:t>包含数字及文字描述</w:t>
            </w:r>
            <w:r>
              <w:rPr>
                <w:rFonts w:ascii="宋体" w:hAnsi="宋体" w:cs="宋体"/>
                <w:color w:val="auto"/>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实际完成指标值</w:t>
            </w:r>
            <w:r>
              <w:rPr>
                <w:rFonts w:ascii="宋体" w:hAnsi="宋体" w:cs="宋体"/>
                <w:color w:val="auto"/>
                <w:kern w:val="0"/>
                <w:sz w:val="24"/>
              </w:rPr>
              <w:t>(</w:t>
            </w:r>
            <w:r>
              <w:rPr>
                <w:rFonts w:hint="eastAsia" w:ascii="宋体" w:hAnsi="宋体" w:cs="宋体"/>
                <w:color w:val="auto"/>
                <w:kern w:val="0"/>
                <w:sz w:val="24"/>
              </w:rPr>
              <w:t>包含数字及文字描述</w:t>
            </w:r>
            <w:r>
              <w:rPr>
                <w:rFonts w:ascii="宋体" w:hAnsi="宋体" w:cs="宋体"/>
                <w:color w:val="auto"/>
                <w:kern w:val="0"/>
                <w:sz w:val="24"/>
              </w:rPr>
              <w:t>)</w:t>
            </w:r>
          </w:p>
        </w:tc>
      </w:tr>
      <w:tr>
        <w:tblPrEx>
          <w:tblLayout w:type="fixed"/>
          <w:tblCellMar>
            <w:top w:w="0" w:type="dxa"/>
            <w:left w:w="0" w:type="dxa"/>
            <w:bottom w:w="0" w:type="dxa"/>
            <w:right w:w="0" w:type="dxa"/>
          </w:tblCellMar>
        </w:tblPrEx>
        <w:trPr>
          <w:trHeight w:val="953" w:hRule="atLeast"/>
        </w:trPr>
        <w:tc>
          <w:tcPr>
            <w:tcW w:w="390" w:type="dxa"/>
            <w:vMerge w:val="continue"/>
            <w:tcBorders>
              <w:left w:val="single" w:color="000000" w:sz="4" w:space="0"/>
              <w:right w:val="single" w:color="000000" w:sz="4" w:space="0"/>
            </w:tcBorders>
            <w:vAlign w:val="center"/>
          </w:tcPr>
          <w:p>
            <w:pPr>
              <w:widowControl/>
              <w:jc w:val="left"/>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auto"/>
                <w:sz w:val="24"/>
                <w:lang w:eastAsia="zh-CN"/>
              </w:rPr>
            </w:pPr>
            <w:r>
              <w:rPr>
                <w:rFonts w:hint="eastAsia" w:asci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auto"/>
                <w:sz w:val="24"/>
              </w:rPr>
            </w:pPr>
            <w:r>
              <w:rPr>
                <w:rFonts w:hint="eastAsia" w:ascii="宋体" w:cs="宋体"/>
                <w:color w:val="auto"/>
                <w:sz w:val="24"/>
              </w:rPr>
              <w:t>完成</w:t>
            </w:r>
            <w:r>
              <w:rPr>
                <w:rFonts w:hint="eastAsia" w:ascii="宋体" w:cs="宋体"/>
                <w:color w:val="auto"/>
                <w:sz w:val="24"/>
                <w:lang w:eastAsia="zh-CN"/>
              </w:rPr>
              <w:t>药品</w:t>
            </w:r>
            <w:r>
              <w:rPr>
                <w:rFonts w:hint="eastAsia" w:ascii="宋体" w:cs="宋体"/>
                <w:color w:val="auto"/>
                <w:sz w:val="24"/>
              </w:rPr>
              <w:t>生产企业监管数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18家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18家</w:t>
            </w:r>
          </w:p>
        </w:tc>
      </w:tr>
      <w:tr>
        <w:tblPrEx>
          <w:tblLayout w:type="fixed"/>
          <w:tblCellMar>
            <w:top w:w="0" w:type="dxa"/>
            <w:left w:w="0" w:type="dxa"/>
            <w:bottom w:w="0" w:type="dxa"/>
            <w:right w:w="0" w:type="dxa"/>
          </w:tblCellMar>
        </w:tblPrEx>
        <w:trPr>
          <w:trHeight w:val="1297" w:hRule="atLeast"/>
        </w:trPr>
        <w:tc>
          <w:tcPr>
            <w:tcW w:w="390" w:type="dxa"/>
            <w:vMerge w:val="continue"/>
            <w:tcBorders>
              <w:left w:val="single" w:color="000000" w:sz="4" w:space="0"/>
              <w:right w:val="single" w:color="000000" w:sz="4" w:space="0"/>
            </w:tcBorders>
            <w:vAlign w:val="center"/>
          </w:tcPr>
          <w:p>
            <w:pPr>
              <w:widowControl/>
              <w:jc w:val="left"/>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auto"/>
                <w:sz w:val="24"/>
              </w:rPr>
            </w:pPr>
            <w:r>
              <w:rPr>
                <w:rFonts w:hint="eastAsia" w:ascii="宋体" w:cs="宋体"/>
                <w:color w:val="auto"/>
                <w:sz w:val="24"/>
                <w:lang w:eastAsia="zh-CN"/>
              </w:rPr>
              <w:t>完成药品</w:t>
            </w:r>
            <w:r>
              <w:rPr>
                <w:rFonts w:hint="eastAsia" w:ascii="宋体" w:cs="宋体"/>
                <w:color w:val="auto"/>
                <w:sz w:val="24"/>
              </w:rPr>
              <w:t>流通企业监管数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3226家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3226家</w:t>
            </w:r>
          </w:p>
        </w:tc>
      </w:tr>
      <w:tr>
        <w:tblPrEx>
          <w:tblLayout w:type="fixed"/>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vAlign w:val="center"/>
          </w:tcPr>
          <w:p>
            <w:pPr>
              <w:widowControl/>
              <w:jc w:val="left"/>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auto"/>
                <w:sz w:val="24"/>
              </w:rPr>
            </w:pPr>
            <w:r>
              <w:rPr>
                <w:rFonts w:hint="eastAsia" w:ascii="宋体" w:cs="宋体"/>
                <w:color w:val="auto"/>
                <w:sz w:val="24"/>
              </w:rPr>
              <w:t>完成化妆品流通领域监督检查企业数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4691家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4691家</w:t>
            </w:r>
          </w:p>
        </w:tc>
      </w:tr>
      <w:tr>
        <w:tblPrEx>
          <w:tblLayout w:type="fixed"/>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vAlign w:val="center"/>
          </w:tcPr>
          <w:p>
            <w:pPr>
              <w:widowControl/>
              <w:jc w:val="left"/>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kern w:val="0"/>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auto"/>
                <w:sz w:val="24"/>
              </w:rPr>
            </w:pPr>
            <w:r>
              <w:rPr>
                <w:rFonts w:hint="eastAsia" w:ascii="宋体" w:cs="宋体"/>
                <w:color w:val="auto"/>
                <w:sz w:val="24"/>
              </w:rPr>
              <w:t>完成3类</w:t>
            </w:r>
            <w:r>
              <w:rPr>
                <w:rFonts w:hint="eastAsia" w:ascii="宋体" w:cs="宋体"/>
                <w:color w:val="auto"/>
                <w:sz w:val="24"/>
                <w:lang w:eastAsia="zh-CN"/>
              </w:rPr>
              <w:t>医疗器械</w:t>
            </w:r>
            <w:r>
              <w:rPr>
                <w:rFonts w:hint="eastAsia" w:ascii="宋体" w:cs="宋体"/>
                <w:color w:val="auto"/>
                <w:sz w:val="24"/>
              </w:rPr>
              <w:t>生产企业检查数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≥3家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≥3家</w:t>
            </w:r>
          </w:p>
        </w:tc>
      </w:tr>
      <w:tr>
        <w:tblPrEx>
          <w:tblLayout w:type="fixed"/>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vAlign w:val="center"/>
          </w:tcPr>
          <w:p>
            <w:pPr>
              <w:widowControl/>
              <w:jc w:val="left"/>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auto"/>
                <w:sz w:val="24"/>
              </w:rPr>
            </w:pPr>
            <w:r>
              <w:rPr>
                <w:rFonts w:hint="eastAsia" w:ascii="宋体" w:cs="宋体"/>
                <w:color w:val="auto"/>
                <w:sz w:val="24"/>
                <w:lang w:eastAsia="zh-CN"/>
              </w:rPr>
              <w:t>完成</w:t>
            </w:r>
            <w:r>
              <w:rPr>
                <w:rFonts w:hint="eastAsia" w:ascii="宋体" w:cs="宋体"/>
                <w:color w:val="auto"/>
                <w:sz w:val="24"/>
              </w:rPr>
              <w:t>3类</w:t>
            </w:r>
            <w:r>
              <w:rPr>
                <w:rFonts w:hint="eastAsia" w:ascii="宋体" w:cs="宋体"/>
                <w:color w:val="auto"/>
                <w:sz w:val="24"/>
                <w:lang w:eastAsia="zh-CN"/>
              </w:rPr>
              <w:t>医疗器械</w:t>
            </w:r>
            <w:r>
              <w:rPr>
                <w:rFonts w:hint="eastAsia" w:ascii="宋体" w:cs="宋体"/>
                <w:color w:val="auto"/>
                <w:sz w:val="24"/>
              </w:rPr>
              <w:t>经营企业监管数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≥25家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≥25家</w:t>
            </w:r>
          </w:p>
        </w:tc>
      </w:tr>
      <w:tr>
        <w:tblPrEx>
          <w:tblLayout w:type="fixed"/>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vAlign w:val="center"/>
          </w:tcPr>
          <w:p>
            <w:pPr>
              <w:widowControl/>
              <w:jc w:val="left"/>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auto"/>
                <w:sz w:val="24"/>
                <w:lang w:eastAsia="zh-CN"/>
              </w:rPr>
            </w:pPr>
            <w:r>
              <w:rPr>
                <w:rFonts w:hint="eastAsia" w:asci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cs="宋体"/>
                <w:color w:val="auto"/>
                <w:sz w:val="24"/>
              </w:rPr>
            </w:pPr>
            <w:r>
              <w:rPr>
                <w:rFonts w:hint="eastAsia" w:ascii="宋体" w:cs="宋体"/>
                <w:color w:val="auto"/>
                <w:sz w:val="24"/>
                <w:lang w:eastAsia="zh-CN"/>
              </w:rPr>
              <w:t>完成</w:t>
            </w:r>
            <w:r>
              <w:rPr>
                <w:rFonts w:hint="eastAsia" w:ascii="宋体" w:cs="宋体"/>
                <w:color w:val="auto"/>
                <w:sz w:val="24"/>
                <w:lang w:val="en-US" w:eastAsia="zh-CN"/>
              </w:rPr>
              <w:t>2.</w:t>
            </w:r>
            <w:r>
              <w:rPr>
                <w:rFonts w:hint="eastAsia" w:ascii="宋体" w:cs="宋体"/>
                <w:color w:val="auto"/>
                <w:sz w:val="24"/>
              </w:rPr>
              <w:t>3级医疗机构监管数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≥28家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≥28家</w:t>
            </w:r>
          </w:p>
        </w:tc>
      </w:tr>
      <w:tr>
        <w:tblPrEx>
          <w:tblLayout w:type="fixed"/>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vAlign w:val="center"/>
          </w:tcPr>
          <w:p>
            <w:pPr>
              <w:widowControl/>
              <w:jc w:val="left"/>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auto"/>
                <w:sz w:val="24"/>
                <w:lang w:eastAsia="zh-CN"/>
              </w:rPr>
            </w:pPr>
            <w:r>
              <w:rPr>
                <w:rFonts w:hint="eastAsia" w:asci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cs="宋体"/>
                <w:color w:val="auto"/>
                <w:sz w:val="24"/>
              </w:rPr>
            </w:pPr>
            <w:r>
              <w:rPr>
                <w:rFonts w:hint="eastAsia" w:ascii="宋体" w:cs="宋体"/>
                <w:color w:val="auto"/>
                <w:sz w:val="24"/>
              </w:rPr>
              <w:t>完成食品（含保健食品）监管企业数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963家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963家</w:t>
            </w:r>
          </w:p>
        </w:tc>
      </w:tr>
      <w:tr>
        <w:tblPrEx>
          <w:tblLayout w:type="fixed"/>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vAlign w:val="center"/>
          </w:tcPr>
          <w:p>
            <w:pPr>
              <w:widowControl/>
              <w:jc w:val="left"/>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cs="宋体"/>
                <w:color w:val="auto"/>
                <w:sz w:val="24"/>
              </w:rPr>
            </w:pPr>
            <w:r>
              <w:rPr>
                <w:rFonts w:hint="eastAsia" w:ascii="宋体" w:cs="宋体"/>
                <w:color w:val="auto"/>
                <w:sz w:val="24"/>
              </w:rPr>
              <w:t>完成制播食药安全科普视频或公益广告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≥1小时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≥1小时</w:t>
            </w:r>
          </w:p>
        </w:tc>
      </w:tr>
      <w:tr>
        <w:tblPrEx>
          <w:tblLayout w:type="fixed"/>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vAlign w:val="center"/>
          </w:tcPr>
          <w:p>
            <w:pPr>
              <w:widowControl/>
              <w:jc w:val="left"/>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cs="宋体"/>
                <w:color w:val="auto"/>
                <w:sz w:val="24"/>
              </w:rPr>
            </w:pPr>
            <w:r>
              <w:rPr>
                <w:rFonts w:hint="eastAsia" w:ascii="宋体" w:cs="宋体"/>
                <w:color w:val="auto"/>
                <w:sz w:val="24"/>
              </w:rPr>
              <w:t>编制食药科普图文资料</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≥1套</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≥1套</w:t>
            </w:r>
          </w:p>
        </w:tc>
      </w:tr>
      <w:tr>
        <w:tblPrEx>
          <w:tblLayout w:type="fixed"/>
          <w:tblCellMar>
            <w:top w:w="0" w:type="dxa"/>
            <w:left w:w="0" w:type="dxa"/>
            <w:bottom w:w="0" w:type="dxa"/>
            <w:right w:w="0" w:type="dxa"/>
          </w:tblCellMar>
        </w:tblPrEx>
        <w:trPr>
          <w:trHeight w:val="1297" w:hRule="atLeast"/>
        </w:trPr>
        <w:tc>
          <w:tcPr>
            <w:tcW w:w="390" w:type="dxa"/>
            <w:vMerge w:val="continue"/>
            <w:tcBorders>
              <w:left w:val="single" w:color="000000" w:sz="4" w:space="0"/>
              <w:right w:val="single" w:color="000000" w:sz="4" w:space="0"/>
            </w:tcBorders>
            <w:vAlign w:val="center"/>
          </w:tcPr>
          <w:p>
            <w:pPr>
              <w:widowControl/>
              <w:jc w:val="left"/>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auto"/>
                <w:sz w:val="24"/>
                <w:lang w:eastAsia="zh-CN"/>
              </w:rPr>
            </w:pPr>
            <w:r>
              <w:rPr>
                <w:rFonts w:hint="eastAsia" w:ascii="宋体" w:cs="宋体"/>
                <w:color w:val="auto"/>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auto"/>
                <w:sz w:val="24"/>
              </w:rPr>
            </w:pPr>
            <w:r>
              <w:rPr>
                <w:rFonts w:hint="eastAsia" w:ascii="宋体" w:cs="宋体"/>
                <w:color w:val="auto"/>
                <w:sz w:val="24"/>
              </w:rPr>
              <w:t>药品生产、流通环节监管企业数覆盖率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达到100％</w:t>
            </w:r>
          </w:p>
        </w:tc>
      </w:tr>
      <w:tr>
        <w:tblPrEx>
          <w:tblLayout w:type="fixed"/>
          <w:tblCellMar>
            <w:top w:w="0" w:type="dxa"/>
            <w:left w:w="0" w:type="dxa"/>
            <w:bottom w:w="0" w:type="dxa"/>
            <w:right w:w="0" w:type="dxa"/>
          </w:tblCellMar>
        </w:tblPrEx>
        <w:trPr>
          <w:trHeight w:val="1297" w:hRule="atLeast"/>
        </w:trPr>
        <w:tc>
          <w:tcPr>
            <w:tcW w:w="390" w:type="dxa"/>
            <w:vMerge w:val="continue"/>
            <w:tcBorders>
              <w:left w:val="single" w:color="000000" w:sz="4" w:space="0"/>
              <w:right w:val="single" w:color="000000" w:sz="4" w:space="0"/>
            </w:tcBorders>
            <w:vAlign w:val="center"/>
          </w:tcPr>
          <w:p>
            <w:pPr>
              <w:widowControl/>
              <w:jc w:val="left"/>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kern w:val="0"/>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auto"/>
                <w:sz w:val="24"/>
              </w:rPr>
            </w:pPr>
            <w:r>
              <w:rPr>
                <w:rFonts w:hint="eastAsia" w:ascii="宋体" w:cs="宋体"/>
                <w:color w:val="auto"/>
                <w:sz w:val="24"/>
              </w:rPr>
              <w:t>化妆品流通领域监督面</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达到100％</w:t>
            </w:r>
          </w:p>
        </w:tc>
      </w:tr>
      <w:tr>
        <w:tblPrEx>
          <w:tblLayout w:type="fixed"/>
          <w:tblCellMar>
            <w:top w:w="0" w:type="dxa"/>
            <w:left w:w="0" w:type="dxa"/>
            <w:bottom w:w="0" w:type="dxa"/>
            <w:right w:w="0" w:type="dxa"/>
          </w:tblCellMar>
        </w:tblPrEx>
        <w:trPr>
          <w:trHeight w:val="1050" w:hRule="atLeast"/>
        </w:trPr>
        <w:tc>
          <w:tcPr>
            <w:tcW w:w="390" w:type="dxa"/>
            <w:vMerge w:val="continue"/>
            <w:tcBorders>
              <w:left w:val="single" w:color="000000" w:sz="4" w:space="0"/>
              <w:right w:val="single" w:color="000000" w:sz="4" w:space="0"/>
            </w:tcBorders>
            <w:vAlign w:val="center"/>
          </w:tcPr>
          <w:p>
            <w:pPr>
              <w:widowControl/>
              <w:jc w:val="left"/>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auto"/>
                <w:sz w:val="24"/>
              </w:rPr>
            </w:pPr>
            <w:r>
              <w:rPr>
                <w:rFonts w:hint="eastAsia" w:ascii="宋体" w:cs="宋体"/>
                <w:color w:val="auto"/>
                <w:sz w:val="24"/>
              </w:rPr>
              <w:t>3类</w:t>
            </w:r>
            <w:r>
              <w:rPr>
                <w:rFonts w:hint="eastAsia" w:ascii="宋体" w:cs="宋体"/>
                <w:color w:val="auto"/>
                <w:sz w:val="24"/>
                <w:lang w:eastAsia="zh-CN"/>
              </w:rPr>
              <w:t>医疗器械</w:t>
            </w:r>
            <w:r>
              <w:rPr>
                <w:rFonts w:hint="eastAsia" w:ascii="宋体" w:cs="宋体"/>
                <w:color w:val="auto"/>
                <w:sz w:val="24"/>
              </w:rPr>
              <w:t>生产企业覆盖率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auto"/>
                <w:sz w:val="24"/>
                <w:lang w:eastAsia="zh-CN"/>
              </w:rPr>
            </w:pPr>
            <w:r>
              <w:rPr>
                <w:rFonts w:hint="eastAsia" w:ascii="宋体" w:cs="宋体"/>
                <w:color w:val="auto"/>
                <w:sz w:val="24"/>
                <w:lang w:eastAsia="zh-CN"/>
              </w:rPr>
              <w:t>达到</w:t>
            </w:r>
            <w:r>
              <w:rPr>
                <w:rFonts w:hint="eastAsia" w:ascii="宋体" w:cs="宋体"/>
                <w:color w:val="auto"/>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达到</w:t>
            </w:r>
            <w:r>
              <w:rPr>
                <w:rFonts w:hint="eastAsia" w:ascii="宋体" w:cs="宋体"/>
                <w:color w:val="auto"/>
                <w:sz w:val="24"/>
              </w:rPr>
              <w:t>100％</w:t>
            </w:r>
          </w:p>
        </w:tc>
      </w:tr>
      <w:tr>
        <w:tblPrEx>
          <w:tblLayout w:type="fixed"/>
          <w:tblCellMar>
            <w:top w:w="0" w:type="dxa"/>
            <w:left w:w="0" w:type="dxa"/>
            <w:bottom w:w="0" w:type="dxa"/>
            <w:right w:w="0" w:type="dxa"/>
          </w:tblCellMar>
        </w:tblPrEx>
        <w:trPr>
          <w:trHeight w:val="1050" w:hRule="atLeast"/>
        </w:trPr>
        <w:tc>
          <w:tcPr>
            <w:tcW w:w="390" w:type="dxa"/>
            <w:vMerge w:val="continue"/>
            <w:tcBorders>
              <w:left w:val="single" w:color="000000" w:sz="4" w:space="0"/>
              <w:right w:val="single" w:color="000000" w:sz="4" w:space="0"/>
            </w:tcBorders>
            <w:vAlign w:val="center"/>
          </w:tcPr>
          <w:p>
            <w:pPr>
              <w:widowControl/>
              <w:jc w:val="left"/>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auto"/>
                <w:sz w:val="24"/>
              </w:rPr>
            </w:pPr>
            <w:r>
              <w:rPr>
                <w:rFonts w:hint="eastAsia" w:ascii="宋体" w:cs="宋体"/>
                <w:color w:val="auto"/>
                <w:sz w:val="24"/>
              </w:rPr>
              <w:t>3类</w:t>
            </w:r>
            <w:r>
              <w:rPr>
                <w:rFonts w:hint="eastAsia" w:ascii="宋体" w:cs="宋体"/>
                <w:color w:val="auto"/>
                <w:sz w:val="24"/>
                <w:lang w:eastAsia="zh-CN"/>
              </w:rPr>
              <w:t>医疗器械</w:t>
            </w:r>
            <w:r>
              <w:rPr>
                <w:rFonts w:hint="eastAsia" w:ascii="宋体" w:cs="宋体"/>
                <w:color w:val="auto"/>
                <w:sz w:val="24"/>
              </w:rPr>
              <w:t>经营企业覆盖率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达到</w:t>
            </w:r>
            <w:r>
              <w:rPr>
                <w:rFonts w:hint="eastAsia" w:ascii="宋体" w:cs="宋体"/>
                <w:color w:val="auto"/>
                <w:sz w:val="24"/>
              </w:rPr>
              <w:t>7％</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达到</w:t>
            </w:r>
            <w:r>
              <w:rPr>
                <w:rFonts w:hint="eastAsia" w:ascii="宋体" w:cs="宋体"/>
                <w:color w:val="auto"/>
                <w:sz w:val="24"/>
              </w:rPr>
              <w:t>7％</w:t>
            </w:r>
          </w:p>
        </w:tc>
      </w:tr>
      <w:tr>
        <w:tblPrEx>
          <w:tblLayout w:type="fixed"/>
          <w:tblCellMar>
            <w:top w:w="0" w:type="dxa"/>
            <w:left w:w="0" w:type="dxa"/>
            <w:bottom w:w="0" w:type="dxa"/>
            <w:right w:w="0" w:type="dxa"/>
          </w:tblCellMar>
        </w:tblPrEx>
        <w:trPr>
          <w:trHeight w:val="1050" w:hRule="atLeast"/>
        </w:trPr>
        <w:tc>
          <w:tcPr>
            <w:tcW w:w="390" w:type="dxa"/>
            <w:vMerge w:val="continue"/>
            <w:tcBorders>
              <w:left w:val="single" w:color="000000" w:sz="4" w:space="0"/>
              <w:right w:val="single" w:color="000000" w:sz="4" w:space="0"/>
            </w:tcBorders>
            <w:vAlign w:val="center"/>
          </w:tcPr>
          <w:p>
            <w:pPr>
              <w:widowControl/>
              <w:jc w:val="left"/>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val="en-US" w:eastAsia="zh-CN"/>
              </w:rPr>
              <w:t>2.</w:t>
            </w:r>
            <w:r>
              <w:rPr>
                <w:rFonts w:hint="eastAsia" w:ascii="宋体" w:cs="宋体"/>
                <w:color w:val="auto"/>
                <w:sz w:val="24"/>
              </w:rPr>
              <w:t>3级医疗机构覆盖率达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达到</w:t>
            </w:r>
            <w:r>
              <w:rPr>
                <w:rFonts w:hint="eastAsia" w:ascii="宋体" w:cs="宋体"/>
                <w:color w:val="auto"/>
                <w:sz w:val="24"/>
              </w:rPr>
              <w:t>35％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达到</w:t>
            </w:r>
            <w:r>
              <w:rPr>
                <w:rFonts w:hint="eastAsia" w:ascii="宋体" w:cs="宋体"/>
                <w:color w:val="auto"/>
                <w:sz w:val="24"/>
              </w:rPr>
              <w:t>35％</w:t>
            </w:r>
          </w:p>
        </w:tc>
      </w:tr>
      <w:tr>
        <w:tblPrEx>
          <w:tblLayout w:type="fixed"/>
          <w:tblCellMar>
            <w:top w:w="0" w:type="dxa"/>
            <w:left w:w="0" w:type="dxa"/>
            <w:bottom w:w="0" w:type="dxa"/>
            <w:right w:w="0" w:type="dxa"/>
          </w:tblCellMar>
        </w:tblPrEx>
        <w:trPr>
          <w:trHeight w:val="1050" w:hRule="atLeast"/>
        </w:trPr>
        <w:tc>
          <w:tcPr>
            <w:tcW w:w="390" w:type="dxa"/>
            <w:vMerge w:val="continue"/>
            <w:tcBorders>
              <w:left w:val="single" w:color="000000" w:sz="4" w:space="0"/>
              <w:right w:val="single" w:color="000000" w:sz="4" w:space="0"/>
            </w:tcBorders>
            <w:vAlign w:val="center"/>
          </w:tcPr>
          <w:p>
            <w:pPr>
              <w:widowControl/>
              <w:jc w:val="left"/>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指导督查食品（含保健食品）监管企业覆盖率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达到100％</w:t>
            </w:r>
          </w:p>
        </w:tc>
      </w:tr>
      <w:tr>
        <w:tblPrEx>
          <w:tblLayout w:type="fixed"/>
          <w:tblCellMar>
            <w:top w:w="0" w:type="dxa"/>
            <w:left w:w="0" w:type="dxa"/>
            <w:bottom w:w="0" w:type="dxa"/>
            <w:right w:w="0" w:type="dxa"/>
          </w:tblCellMar>
        </w:tblPrEx>
        <w:trPr>
          <w:trHeight w:val="1050" w:hRule="atLeast"/>
        </w:trPr>
        <w:tc>
          <w:tcPr>
            <w:tcW w:w="390" w:type="dxa"/>
            <w:vMerge w:val="continue"/>
            <w:tcBorders>
              <w:left w:val="single" w:color="000000" w:sz="4" w:space="0"/>
              <w:right w:val="single" w:color="000000" w:sz="4" w:space="0"/>
            </w:tcBorders>
            <w:vAlign w:val="center"/>
          </w:tcPr>
          <w:p>
            <w:pPr>
              <w:widowControl/>
              <w:jc w:val="left"/>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auto"/>
                <w:sz w:val="24"/>
              </w:rPr>
            </w:pPr>
            <w:r>
              <w:rPr>
                <w:rFonts w:hint="eastAsia" w:ascii="宋体" w:cs="宋体"/>
                <w:color w:val="auto"/>
                <w:sz w:val="24"/>
              </w:rPr>
              <w:t>新媒体宣传平台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≥1个</w:t>
            </w:r>
          </w:p>
        </w:tc>
      </w:tr>
      <w:tr>
        <w:tblPrEx>
          <w:tblLayout w:type="fixed"/>
          <w:tblCellMar>
            <w:top w:w="0" w:type="dxa"/>
            <w:left w:w="0" w:type="dxa"/>
            <w:bottom w:w="0" w:type="dxa"/>
            <w:right w:w="0" w:type="dxa"/>
          </w:tblCellMar>
        </w:tblPrEx>
        <w:trPr>
          <w:trHeight w:val="1050" w:hRule="atLeast"/>
        </w:trPr>
        <w:tc>
          <w:tcPr>
            <w:tcW w:w="390" w:type="dxa"/>
            <w:vMerge w:val="continue"/>
            <w:tcBorders>
              <w:left w:val="single" w:color="000000" w:sz="4" w:space="0"/>
              <w:right w:val="single" w:color="000000" w:sz="4" w:space="0"/>
            </w:tcBorders>
            <w:vAlign w:val="center"/>
          </w:tcPr>
          <w:p>
            <w:pPr>
              <w:widowControl/>
              <w:jc w:val="left"/>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auto"/>
                <w:sz w:val="24"/>
                <w:lang w:eastAsia="zh-CN"/>
              </w:rPr>
            </w:pPr>
            <w:r>
              <w:rPr>
                <w:rFonts w:hint="eastAsia" w:ascii="宋体" w:cs="宋体"/>
                <w:color w:val="auto"/>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eastAsia="宋体" w:cs="宋体"/>
                <w:color w:val="auto"/>
                <w:sz w:val="24"/>
                <w:lang w:eastAsia="zh-CN"/>
              </w:rPr>
            </w:pPr>
            <w:r>
              <w:rPr>
                <w:rFonts w:hint="eastAsia" w:ascii="宋体" w:cs="宋体"/>
                <w:color w:val="auto"/>
                <w:sz w:val="24"/>
                <w:lang w:eastAsia="zh-CN"/>
              </w:rPr>
              <w:t>项目完成时限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2018年12月前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2018年12月前</w:t>
            </w:r>
          </w:p>
        </w:tc>
      </w:tr>
      <w:tr>
        <w:tblPrEx>
          <w:tblLayout w:type="fixed"/>
          <w:tblCellMar>
            <w:top w:w="0" w:type="dxa"/>
            <w:left w:w="0" w:type="dxa"/>
            <w:bottom w:w="0" w:type="dxa"/>
            <w:right w:w="0" w:type="dxa"/>
          </w:tblCellMar>
        </w:tblPrEx>
        <w:trPr>
          <w:trHeight w:val="1050" w:hRule="atLeast"/>
        </w:trPr>
        <w:tc>
          <w:tcPr>
            <w:tcW w:w="390" w:type="dxa"/>
            <w:vMerge w:val="continue"/>
            <w:tcBorders>
              <w:left w:val="single" w:color="000000" w:sz="4" w:space="0"/>
              <w:right w:val="single" w:color="000000" w:sz="4" w:space="0"/>
            </w:tcBorders>
            <w:vAlign w:val="center"/>
          </w:tcPr>
          <w:p>
            <w:pPr>
              <w:widowControl/>
              <w:jc w:val="left"/>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项目效果指标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auto"/>
                <w:sz w:val="24"/>
                <w:lang w:eastAsia="zh-CN"/>
              </w:rPr>
            </w:pPr>
            <w:r>
              <w:rPr>
                <w:rFonts w:hint="eastAsia" w:ascii="宋体" w:cs="宋体"/>
                <w:color w:val="auto"/>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auto"/>
                <w:sz w:val="24"/>
              </w:rPr>
            </w:pPr>
            <w:r>
              <w:rPr>
                <w:rFonts w:hint="eastAsia" w:ascii="宋体" w:cs="宋体"/>
                <w:color w:val="auto"/>
                <w:sz w:val="24"/>
              </w:rPr>
              <w:t>公众对药品生产、流通环节监管满意度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≥70%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≥70%</w:t>
            </w:r>
          </w:p>
        </w:tc>
      </w:tr>
      <w:tr>
        <w:tblPrEx>
          <w:tblLayout w:type="fixed"/>
          <w:tblCellMar>
            <w:top w:w="0" w:type="dxa"/>
            <w:left w:w="0" w:type="dxa"/>
            <w:bottom w:w="0" w:type="dxa"/>
            <w:right w:w="0" w:type="dxa"/>
          </w:tblCellMar>
        </w:tblPrEx>
        <w:trPr>
          <w:trHeight w:val="1050" w:hRule="atLeast"/>
        </w:trPr>
        <w:tc>
          <w:tcPr>
            <w:tcW w:w="390" w:type="dxa"/>
            <w:vMerge w:val="continue"/>
            <w:tcBorders>
              <w:left w:val="single" w:color="000000" w:sz="4" w:space="0"/>
              <w:right w:val="single" w:color="000000" w:sz="4" w:space="0"/>
            </w:tcBorders>
            <w:vAlign w:val="center"/>
          </w:tcPr>
          <w:p>
            <w:pPr>
              <w:widowControl/>
              <w:jc w:val="left"/>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lang w:eastAsia="zh-CN"/>
              </w:rPr>
              <w:t>项目效果指标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auto"/>
                <w:sz w:val="24"/>
              </w:rPr>
            </w:pPr>
            <w:r>
              <w:rPr>
                <w:rFonts w:hint="eastAsia" w:ascii="宋体" w:cs="宋体"/>
                <w:color w:val="auto"/>
                <w:sz w:val="24"/>
              </w:rPr>
              <w:t>公众对化妆品监管满意度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≥80%</w:t>
            </w:r>
          </w:p>
        </w:tc>
      </w:tr>
      <w:tr>
        <w:tblPrEx>
          <w:tblLayout w:type="fixed"/>
          <w:tblCellMar>
            <w:top w:w="0" w:type="dxa"/>
            <w:left w:w="0" w:type="dxa"/>
            <w:bottom w:w="0" w:type="dxa"/>
            <w:right w:w="0" w:type="dxa"/>
          </w:tblCellMar>
        </w:tblPrEx>
        <w:trPr>
          <w:trHeight w:val="1050" w:hRule="atLeast"/>
        </w:trPr>
        <w:tc>
          <w:tcPr>
            <w:tcW w:w="390" w:type="dxa"/>
            <w:vMerge w:val="continue"/>
            <w:tcBorders>
              <w:left w:val="single" w:color="000000" w:sz="4" w:space="0"/>
              <w:right w:val="single" w:color="000000" w:sz="4" w:space="0"/>
            </w:tcBorders>
            <w:vAlign w:val="center"/>
          </w:tcPr>
          <w:p>
            <w:pPr>
              <w:widowControl/>
              <w:jc w:val="left"/>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lang w:eastAsia="zh-CN"/>
              </w:rPr>
              <w:t>项目效果指标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auto"/>
                <w:sz w:val="24"/>
              </w:rPr>
            </w:pPr>
            <w:r>
              <w:rPr>
                <w:rFonts w:hint="eastAsia" w:ascii="宋体" w:cs="宋体"/>
                <w:color w:val="auto"/>
                <w:sz w:val="24"/>
              </w:rPr>
              <w:t>相关企业对医疗器械标准满意度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≥70%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≥70%</w:t>
            </w:r>
          </w:p>
        </w:tc>
      </w:tr>
      <w:tr>
        <w:tblPrEx>
          <w:tblLayout w:type="fixed"/>
          <w:tblCellMar>
            <w:top w:w="0" w:type="dxa"/>
            <w:left w:w="0" w:type="dxa"/>
            <w:bottom w:w="0" w:type="dxa"/>
            <w:right w:w="0" w:type="dxa"/>
          </w:tblCellMar>
        </w:tblPrEx>
        <w:trPr>
          <w:trHeight w:val="1050" w:hRule="atLeast"/>
        </w:trPr>
        <w:tc>
          <w:tcPr>
            <w:tcW w:w="390" w:type="dxa"/>
            <w:vMerge w:val="continue"/>
            <w:tcBorders>
              <w:left w:val="single" w:color="000000" w:sz="4" w:space="0"/>
              <w:right w:val="single" w:color="000000" w:sz="4" w:space="0"/>
            </w:tcBorders>
            <w:vAlign w:val="center"/>
          </w:tcPr>
          <w:p>
            <w:pPr>
              <w:widowControl/>
              <w:jc w:val="left"/>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lang w:eastAsia="zh-CN"/>
              </w:rPr>
              <w:t>项目效果指标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auto"/>
                <w:sz w:val="24"/>
              </w:rPr>
            </w:pPr>
            <w:r>
              <w:rPr>
                <w:rFonts w:hint="eastAsia" w:ascii="宋体" w:cs="宋体"/>
                <w:color w:val="auto"/>
                <w:sz w:val="24"/>
              </w:rPr>
              <w:t>公众对食品监管满意度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≥70%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≥70%</w:t>
            </w:r>
          </w:p>
        </w:tc>
      </w:tr>
      <w:tr>
        <w:tblPrEx>
          <w:tblLayout w:type="fixed"/>
          <w:tblCellMar>
            <w:top w:w="0" w:type="dxa"/>
            <w:left w:w="0" w:type="dxa"/>
            <w:bottom w:w="0" w:type="dxa"/>
            <w:right w:w="0" w:type="dxa"/>
          </w:tblCellMar>
        </w:tblPrEx>
        <w:trPr>
          <w:trHeight w:val="1050" w:hRule="atLeast"/>
        </w:trPr>
        <w:tc>
          <w:tcPr>
            <w:tcW w:w="390" w:type="dxa"/>
            <w:vMerge w:val="continue"/>
            <w:tcBorders>
              <w:left w:val="single" w:color="000000" w:sz="4" w:space="0"/>
              <w:bottom w:val="single" w:color="000000" w:sz="4" w:space="0"/>
              <w:right w:val="single" w:color="000000" w:sz="4" w:space="0"/>
            </w:tcBorders>
            <w:vAlign w:val="center"/>
          </w:tcPr>
          <w:p>
            <w:pPr>
              <w:widowControl/>
              <w:jc w:val="left"/>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lang w:eastAsia="zh-CN"/>
              </w:rPr>
              <w:t>项目效果指标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auto"/>
                <w:sz w:val="24"/>
              </w:rPr>
            </w:pPr>
            <w:r>
              <w:rPr>
                <w:rFonts w:hint="eastAsia" w:ascii="宋体" w:cs="宋体"/>
                <w:color w:val="auto"/>
                <w:sz w:val="24"/>
              </w:rPr>
              <w:t>公众对食药安全科普宣传满意度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≥70%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≥70%</w:t>
            </w:r>
          </w:p>
        </w:tc>
      </w:tr>
    </w:tbl>
    <w:p>
      <w:pPr>
        <w:rPr>
          <w:rFonts w:ascii="Calibri" w:hAnsi="Calibri"/>
          <w:color w:val="0000FF"/>
        </w:rPr>
      </w:pPr>
    </w:p>
    <w:p>
      <w:pPr>
        <w:spacing w:line="580" w:lineRule="exact"/>
        <w:rPr>
          <w:rFonts w:ascii="仿宋_GB2312" w:hAnsi="仿宋_GB2312" w:eastAsia="仿宋_GB2312" w:cs="仿宋_GB2312"/>
          <w:color w:val="0000FF"/>
          <w:sz w:val="32"/>
          <w:szCs w:val="32"/>
        </w:rPr>
      </w:pPr>
    </w:p>
    <w:p>
      <w:pPr>
        <w:numPr>
          <w:ilvl w:val="0"/>
          <w:numId w:val="5"/>
        </w:numPr>
        <w:spacing w:line="580" w:lineRule="exact"/>
        <w:ind w:firstLine="643" w:firstLineChars="200"/>
        <w:rPr>
          <w:rFonts w:ascii="仿宋" w:hAnsi="仿宋" w:eastAsia="仿宋" w:cs="仿宋_GB2312"/>
          <w:color w:val="auto"/>
          <w:sz w:val="32"/>
          <w:szCs w:val="32"/>
        </w:rPr>
      </w:pPr>
      <w:r>
        <w:rPr>
          <w:rFonts w:hint="eastAsia" w:ascii="仿宋" w:hAnsi="仿宋" w:eastAsia="仿宋" w:cs="楷体_GB2312"/>
          <w:b/>
          <w:bCs/>
          <w:color w:val="auto"/>
          <w:sz w:val="32"/>
          <w:szCs w:val="32"/>
        </w:rPr>
        <w:t>部门开展绩效评价结果。</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本部门按要求对</w:t>
      </w:r>
      <w:r>
        <w:rPr>
          <w:rFonts w:ascii="仿宋_GB2312" w:hAnsi="仿宋_GB2312" w:eastAsia="仿宋_GB2312" w:cs="仿宋_GB2312"/>
          <w:color w:val="auto"/>
          <w:sz w:val="32"/>
          <w:szCs w:val="32"/>
        </w:rPr>
        <w:t>2018</w:t>
      </w:r>
      <w:r>
        <w:rPr>
          <w:rFonts w:hint="eastAsia" w:ascii="仿宋_GB2312" w:hAnsi="仿宋_GB2312" w:eastAsia="仿宋_GB2312" w:cs="仿宋_GB2312"/>
          <w:color w:val="auto"/>
          <w:sz w:val="32"/>
          <w:szCs w:val="32"/>
        </w:rPr>
        <w:t>年部门整体支出绩效评价情况开展自评，《</w:t>
      </w:r>
      <w:r>
        <w:rPr>
          <w:rFonts w:hint="eastAsia" w:ascii="仿宋_GB2312" w:hAnsi="仿宋_GB2312" w:eastAsia="仿宋_GB2312" w:cs="仿宋_GB2312"/>
          <w:color w:val="auto"/>
          <w:sz w:val="32"/>
          <w:szCs w:val="32"/>
          <w:lang w:eastAsia="zh-CN"/>
        </w:rPr>
        <w:t>原绵阳市食品药品监督管理局</w:t>
      </w:r>
      <w:r>
        <w:rPr>
          <w:rFonts w:ascii="仿宋_GB2312" w:hAnsi="仿宋_GB2312" w:eastAsia="仿宋_GB2312" w:cs="仿宋_GB2312"/>
          <w:color w:val="auto"/>
          <w:sz w:val="32"/>
          <w:szCs w:val="32"/>
        </w:rPr>
        <w:t>2018</w:t>
      </w:r>
      <w:r>
        <w:rPr>
          <w:rFonts w:hint="eastAsia" w:ascii="仿宋_GB2312" w:hAnsi="仿宋_GB2312" w:eastAsia="仿宋_GB2312" w:cs="仿宋_GB2312"/>
          <w:color w:val="auto"/>
          <w:sz w:val="32"/>
          <w:szCs w:val="32"/>
        </w:rPr>
        <w:t>年部门整体支出绩效评价报告》见附件。</w:t>
      </w:r>
    </w:p>
    <w:p>
      <w:pPr>
        <w:spacing w:line="600" w:lineRule="exact"/>
        <w:ind w:firstLine="800" w:firstLineChars="250"/>
        <w:outlineLvl w:val="1"/>
        <w:rPr>
          <w:rStyle w:val="20"/>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0"/>
          <w:rFonts w:hint="eastAsia" w:ascii="黑体" w:hAnsi="黑体" w:eastAsia="黑体"/>
        </w:rPr>
        <w:t>一、</w:t>
      </w:r>
      <w:r>
        <w:rPr>
          <w:rStyle w:val="20"/>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2018</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原绵阳市食品药品监督管理局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145.44</w:t>
      </w:r>
      <w:r>
        <w:rPr>
          <w:rFonts w:hint="eastAsia" w:ascii="仿宋_GB2312" w:eastAsia="仿宋_GB2312"/>
          <w:color w:val="000000"/>
          <w:sz w:val="32"/>
          <w:szCs w:val="32"/>
        </w:rPr>
        <w:t>万元，比</w:t>
      </w:r>
      <w:r>
        <w:rPr>
          <w:rFonts w:ascii="仿宋_GB2312" w:eastAsia="仿宋_GB2312"/>
          <w:color w:val="000000"/>
          <w:sz w:val="32"/>
          <w:szCs w:val="32"/>
        </w:rPr>
        <w:t>2017</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31.46</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17.78</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压缩公用经费支出。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原绵阳市食品药品监督管理局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1651.86</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1620.95</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30.91</w:t>
      </w:r>
      <w:r>
        <w:rPr>
          <w:rFonts w:hint="eastAsia" w:ascii="仿宋_GB2312" w:eastAsia="仿宋_GB2312"/>
          <w:color w:val="000000"/>
          <w:sz w:val="32"/>
          <w:szCs w:val="32"/>
        </w:rPr>
        <w:t>万元。主要用于</w:t>
      </w:r>
      <w:r>
        <w:rPr>
          <w:rFonts w:hint="eastAsia" w:ascii="仿宋" w:hAnsi="仿宋" w:eastAsia="仿宋"/>
          <w:color w:val="000000"/>
          <w:sz w:val="32"/>
          <w:szCs w:val="32"/>
          <w:lang w:eastAsia="zh-CN"/>
        </w:rPr>
        <w:t>系统能力建设项目，为基层监管所购买执法车辆、执法装备、快检设备，以及药品检测车项目采购</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1606.17</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97.23</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1599.75</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96.84</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2018</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原绵阳市食品药品监督管理局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辆，其他用车主要是</w:t>
      </w:r>
      <w:r>
        <w:rPr>
          <w:rFonts w:hint="eastAsia" w:ascii="仿宋_GB2312" w:eastAsia="仿宋_GB2312"/>
          <w:color w:val="000000"/>
          <w:sz w:val="32"/>
          <w:szCs w:val="32"/>
          <w:lang w:eastAsia="zh-CN"/>
        </w:rPr>
        <w:t>用于事业单位用车。</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台（套）。</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3" w:firstLineChars="150"/>
        <w:jc w:val="center"/>
        <w:outlineLvl w:val="0"/>
        <w:rPr>
          <w:rStyle w:val="19"/>
          <w:rFonts w:ascii="黑体" w:hAnsi="黑体" w:eastAsia="黑体"/>
          <w:b w:val="0"/>
        </w:rPr>
      </w:pPr>
      <w:bookmarkStart w:id="55" w:name="_Toc15396613"/>
      <w:bookmarkStart w:id="56" w:name="_Toc15377225"/>
      <w:r>
        <w:rPr>
          <w:rFonts w:hint="eastAsia" w:ascii="黑体" w:hAnsi="黑体" w:eastAsia="黑体"/>
          <w:b/>
          <w:color w:val="000000"/>
          <w:sz w:val="44"/>
          <w:szCs w:val="44"/>
        </w:rPr>
        <w:t>名</w:t>
      </w:r>
      <w:r>
        <w:rPr>
          <w:rStyle w:val="19"/>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8"/>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hAnsi="Calibri" w:cs="仿宋"/>
          <w:b w:val="0"/>
          <w:bCs w:val="0"/>
          <w:color w:val="000000"/>
          <w:kern w:val="0"/>
          <w:sz w:val="32"/>
          <w:szCs w:val="32"/>
          <w:lang w:val="en-US" w:eastAsia="zh-CN" w:bidi="ar-SA"/>
        </w:rPr>
      </w:pPr>
      <w:r>
        <w:rPr>
          <w:rFonts w:hint="eastAsia" w:ascii="仿宋_GB2312" w:hAnsi="Calibri" w:cs="仿宋"/>
          <w:b w:val="0"/>
          <w:bCs w:val="0"/>
          <w:color w:val="000000"/>
          <w:kern w:val="0"/>
          <w:sz w:val="32"/>
          <w:szCs w:val="32"/>
          <w:lang w:val="en-US" w:eastAsia="zh-CN" w:bidi="ar-SA"/>
        </w:rPr>
        <w:t>9</w:t>
      </w:r>
      <w:r>
        <w:rPr>
          <w:rFonts w:hint="eastAsia" w:ascii="仿宋_GB2312" w:hAnsi="Calibri" w:eastAsia="仿宋_GB2312" w:cs="仿宋"/>
          <w:b w:val="0"/>
          <w:bCs w:val="0"/>
          <w:color w:val="000000"/>
          <w:kern w:val="0"/>
          <w:sz w:val="32"/>
          <w:szCs w:val="32"/>
          <w:lang w:val="en-US" w:eastAsia="zh-CN" w:bidi="ar-SA"/>
        </w:rPr>
        <w:t>.社会保障和就业类：2080502事业单位离退休，指实行归口管理的事业单位开支的离退休经费支出；2080504未归口管理的行政单位离退休，指未实施归口管理的行政单位（包括实施公务员管理的事业单位）开支的离退休支出；2080505机关事业单位基本养老保险缴费支出，指机关事业单位实施养老保险制度由单位缴纳的基本养老保险费的支出；2080506机关事业单位职业年金缴费支出，指机关事业单位实施职业年金制度由单位缴纳的职业年金的支出。</w:t>
      </w:r>
    </w:p>
    <w:p>
      <w:pPr>
        <w:ind w:firstLine="640" w:firstLineChars="200"/>
        <w:rPr>
          <w:rFonts w:hint="eastAsia" w:ascii="仿宋_GB2312" w:eastAsia="仿宋_GB2312"/>
          <w:b w:val="0"/>
          <w:bCs w:val="0"/>
          <w:color w:val="000000"/>
          <w:sz w:val="32"/>
          <w:szCs w:val="32"/>
        </w:rPr>
      </w:pPr>
      <w:r>
        <w:rPr>
          <w:rFonts w:hint="eastAsia" w:ascii="仿宋_GB2312" w:hAnsi="Calibri" w:cs="仿宋"/>
          <w:b w:val="0"/>
          <w:bCs w:val="0"/>
          <w:color w:val="000000"/>
          <w:kern w:val="0"/>
          <w:sz w:val="32"/>
          <w:szCs w:val="32"/>
          <w:lang w:val="en-US" w:eastAsia="zh-CN" w:bidi="ar-SA"/>
        </w:rPr>
        <w:t>10</w:t>
      </w:r>
      <w:r>
        <w:rPr>
          <w:rFonts w:hint="eastAsia" w:ascii="仿宋_GB2312" w:hAnsi="Calibri" w:eastAsia="仿宋_GB2312" w:cs="仿宋"/>
          <w:b w:val="0"/>
          <w:bCs w:val="0"/>
          <w:color w:val="000000"/>
          <w:kern w:val="0"/>
          <w:sz w:val="32"/>
          <w:szCs w:val="32"/>
          <w:lang w:val="en-US" w:eastAsia="zh-CN" w:bidi="ar-SA"/>
        </w:rPr>
        <w:t>.医疗卫生与计划生育类：2101001行政运行，指行政单位（包括实施公务员管理的事业单位）的基本支出；2101002一般行政管理事务，指行政单位（包括实施公务员管理的事业单位）未单独设置项级科目的其他项目支出；2101012药品事务，指用于药品（含中药、民族药）监督管理方面的支出；2101014化妆品事务，指用于化妆品监督管理方面的支出；2101015医疗器械事务，指用于医疗器械监督管理方面的支出；2101016食品安全事务，指用于食品（含食品添加剂、保健食品）监督管理方面的支出；2101050事业运行，指事业单位的基本支出；2101099其他食品和药品监督管理局事务，指其他用于食品和药品监督管理事务方面的支出。210</w:t>
      </w:r>
      <w:r>
        <w:rPr>
          <w:rFonts w:hint="eastAsia" w:ascii="仿宋_GB2312" w:hAnsi="Calibri" w:cs="仿宋"/>
          <w:b w:val="0"/>
          <w:bCs w:val="0"/>
          <w:color w:val="000000"/>
          <w:kern w:val="0"/>
          <w:sz w:val="32"/>
          <w:szCs w:val="32"/>
          <w:lang w:val="en-US" w:eastAsia="zh-CN" w:bidi="ar-SA"/>
        </w:rPr>
        <w:t>11</w:t>
      </w:r>
      <w:r>
        <w:rPr>
          <w:rFonts w:hint="eastAsia" w:ascii="仿宋_GB2312" w:hAnsi="Calibri" w:eastAsia="仿宋_GB2312" w:cs="仿宋"/>
          <w:b w:val="0"/>
          <w:bCs w:val="0"/>
          <w:color w:val="000000"/>
          <w:kern w:val="0"/>
          <w:sz w:val="32"/>
          <w:szCs w:val="32"/>
          <w:lang w:val="en-US" w:eastAsia="zh-CN" w:bidi="ar-SA"/>
        </w:rPr>
        <w:t>01行政单位医疗，指财政部门集中安排的行政单位基本医疗保险缴费经费；210</w:t>
      </w:r>
      <w:r>
        <w:rPr>
          <w:rFonts w:hint="eastAsia" w:ascii="仿宋_GB2312" w:hAnsi="Calibri" w:cs="仿宋"/>
          <w:b w:val="0"/>
          <w:bCs w:val="0"/>
          <w:color w:val="000000"/>
          <w:kern w:val="0"/>
          <w:sz w:val="32"/>
          <w:szCs w:val="32"/>
          <w:lang w:val="en-US" w:eastAsia="zh-CN" w:bidi="ar-SA"/>
        </w:rPr>
        <w:t>11</w:t>
      </w:r>
      <w:r>
        <w:rPr>
          <w:rFonts w:hint="eastAsia" w:ascii="仿宋_GB2312" w:hAnsi="Calibri" w:eastAsia="仿宋_GB2312" w:cs="仿宋"/>
          <w:b w:val="0"/>
          <w:bCs w:val="0"/>
          <w:color w:val="000000"/>
          <w:kern w:val="0"/>
          <w:sz w:val="32"/>
          <w:szCs w:val="32"/>
          <w:lang w:val="en-US" w:eastAsia="zh-CN" w:bidi="ar-SA"/>
        </w:rPr>
        <w:t>02事业单位医疗，指财政部门集中安排的事业单位基本医疗保险缴费经费；2109901其他医疗卫生与计划生育支出，指用于其他医疗卫生与计划生育支出。</w:t>
      </w:r>
      <w:r>
        <w:rPr>
          <w:rFonts w:hint="eastAsia" w:ascii="仿宋_GB2312" w:hAnsi="Calibri" w:eastAsia="仿宋_GB2312" w:cs="仿宋"/>
          <w:b w:val="0"/>
          <w:bCs w:val="0"/>
          <w:color w:val="000000"/>
          <w:kern w:val="0"/>
          <w:sz w:val="32"/>
          <w:szCs w:val="32"/>
          <w:lang w:val="en-US" w:eastAsia="zh-CN" w:bidi="ar-SA"/>
        </w:rPr>
        <w:br w:type="textWrapping"/>
      </w:r>
      <w:r>
        <w:rPr>
          <w:rFonts w:hint="eastAsia" w:ascii="仿宋_GB2312" w:hAnsi="Calibri" w:eastAsia="仿宋_GB2312" w:cs="仿宋"/>
          <w:b w:val="0"/>
          <w:bCs w:val="0"/>
          <w:color w:val="000000"/>
          <w:kern w:val="0"/>
          <w:sz w:val="32"/>
          <w:szCs w:val="32"/>
          <w:lang w:val="en-US" w:eastAsia="zh-CN" w:bidi="ar-SA"/>
        </w:rPr>
        <w:t xml:space="preserve">    1</w:t>
      </w:r>
      <w:r>
        <w:rPr>
          <w:rFonts w:hint="eastAsia" w:ascii="仿宋_GB2312" w:hAnsi="Calibri" w:cs="仿宋"/>
          <w:b w:val="0"/>
          <w:bCs w:val="0"/>
          <w:color w:val="000000"/>
          <w:kern w:val="0"/>
          <w:sz w:val="32"/>
          <w:szCs w:val="32"/>
          <w:lang w:val="en-US" w:eastAsia="zh-CN" w:bidi="ar-SA"/>
        </w:rPr>
        <w:t>1</w:t>
      </w:r>
      <w:r>
        <w:rPr>
          <w:rFonts w:hint="eastAsia" w:ascii="仿宋_GB2312" w:hAnsi="Calibri" w:eastAsia="仿宋_GB2312" w:cs="仿宋"/>
          <w:b w:val="0"/>
          <w:bCs w:val="0"/>
          <w:color w:val="000000"/>
          <w:kern w:val="0"/>
          <w:sz w:val="32"/>
          <w:szCs w:val="32"/>
          <w:lang w:val="en-US" w:eastAsia="zh-CN" w:bidi="ar-SA"/>
        </w:rPr>
        <w:t>.住房保障类：2210201住房公积金，指行政事业单位按人力资源和社会保障部、财政部规定的基本工资和津贴补贴以及规定比例为职工缴纳的住房公积金；2210203购房补贴，</w:t>
      </w:r>
      <w:r>
        <w:rPr>
          <w:rFonts w:hint="eastAsia" w:ascii="仿宋_GB2312" w:eastAsia="仿宋_GB2312"/>
          <w:b w:val="0"/>
          <w:bCs w:val="0"/>
          <w:color w:val="000000"/>
          <w:sz w:val="32"/>
          <w:szCs w:val="32"/>
          <w:lang w:val="en-US" w:eastAsia="zh-CN"/>
        </w:rPr>
        <w:t>指按房改政策规范，行政事业单位向符合条件职工发放的用于购买住房的补贴。</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13</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15</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16</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9"/>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19"/>
          <w:rFonts w:hint="eastAsia" w:ascii="黑体" w:hAnsi="黑体" w:eastAsia="黑体"/>
          <w:b w:val="0"/>
        </w:rPr>
        <w:t>四部分</w:t>
      </w:r>
      <w:r>
        <w:rPr>
          <w:rStyle w:val="19"/>
          <w:rFonts w:ascii="黑体" w:hAnsi="黑体" w:eastAsia="黑体"/>
          <w:b w:val="0"/>
        </w:rPr>
        <w:t xml:space="preserve"> </w:t>
      </w:r>
      <w:r>
        <w:rPr>
          <w:rStyle w:val="19"/>
          <w:rFonts w:hint="eastAsia" w:ascii="黑体" w:hAnsi="黑体" w:eastAsia="黑体"/>
          <w:b w:val="0"/>
        </w:rPr>
        <w:t>附件</w:t>
      </w:r>
      <w:bookmarkEnd w:id="58"/>
    </w:p>
    <w:p>
      <w:pPr>
        <w:spacing w:line="600" w:lineRule="exact"/>
        <w:jc w:val="center"/>
        <w:outlineLvl w:val="0"/>
        <w:rPr>
          <w:rStyle w:val="19"/>
        </w:rPr>
      </w:pPr>
    </w:p>
    <w:p>
      <w:pPr>
        <w:pStyle w:val="3"/>
        <w:rPr>
          <w:rStyle w:val="19"/>
          <w:rFonts w:ascii="仿宋" w:hAnsi="仿宋" w:eastAsia="仿宋"/>
          <w:b w:val="0"/>
          <w:bCs w:val="0"/>
          <w:sz w:val="32"/>
          <w:szCs w:val="32"/>
        </w:rPr>
      </w:pPr>
      <w:bookmarkStart w:id="59" w:name="_Toc15396615"/>
      <w:r>
        <w:rPr>
          <w:rStyle w:val="19"/>
          <w:rFonts w:hint="eastAsia" w:ascii="仿宋" w:hAnsi="仿宋" w:eastAsia="仿宋"/>
          <w:b w:val="0"/>
          <w:bCs w:val="0"/>
          <w:sz w:val="32"/>
          <w:szCs w:val="32"/>
        </w:rPr>
        <w:t>附件</w:t>
      </w:r>
      <w:r>
        <w:rPr>
          <w:rStyle w:val="19"/>
          <w:rFonts w:ascii="仿宋" w:hAnsi="仿宋" w:eastAsia="仿宋"/>
          <w:b w:val="0"/>
          <w:bCs w:val="0"/>
          <w:sz w:val="32"/>
          <w:szCs w:val="32"/>
        </w:rPr>
        <w:t>1</w:t>
      </w:r>
      <w:bookmarkEnd w:id="59"/>
    </w:p>
    <w:p>
      <w:pPr>
        <w:spacing w:line="600" w:lineRule="exact"/>
        <w:jc w:val="center"/>
        <w:outlineLvl w:val="0"/>
        <w:rPr>
          <w:rFonts w:hint="eastAsia" w:ascii="黑体" w:hAnsi="黑体" w:eastAsia="黑体" w:cs="方正小标宋简体"/>
          <w:sz w:val="36"/>
          <w:szCs w:val="36"/>
          <w:lang w:eastAsia="zh-CN"/>
        </w:rPr>
      </w:pPr>
      <w:bookmarkStart w:id="60" w:name="_Toc15396616"/>
      <w:r>
        <w:rPr>
          <w:rFonts w:hint="eastAsia" w:ascii="黑体" w:hAnsi="黑体" w:eastAsia="黑体" w:cs="方正小标宋简体"/>
          <w:sz w:val="36"/>
          <w:szCs w:val="36"/>
          <w:lang w:eastAsia="zh-CN"/>
        </w:rPr>
        <w:t>原绵阳市食品药品监督管理局</w:t>
      </w:r>
    </w:p>
    <w:p>
      <w:pPr>
        <w:spacing w:line="600" w:lineRule="exact"/>
        <w:jc w:val="center"/>
        <w:outlineLvl w:val="0"/>
        <w:rPr>
          <w:rFonts w:ascii="黑体" w:hAnsi="黑体" w:eastAsia="黑体" w:cs="方正小标宋简体"/>
          <w:sz w:val="36"/>
          <w:szCs w:val="36"/>
        </w:rPr>
      </w:pPr>
      <w:r>
        <w:rPr>
          <w:rFonts w:ascii="黑体" w:hAnsi="黑体" w:eastAsia="黑体" w:cs="方正小标宋简体"/>
          <w:sz w:val="36"/>
          <w:szCs w:val="36"/>
        </w:rPr>
        <w:t>2018</w:t>
      </w:r>
      <w:r>
        <w:rPr>
          <w:rFonts w:hint="eastAsia" w:ascii="黑体" w:hAnsi="黑体" w:eastAsia="黑体" w:cs="方正小标宋简体"/>
          <w:sz w:val="36"/>
          <w:szCs w:val="36"/>
        </w:rPr>
        <w:t>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（一）机构组成。</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根据绵阳市人民政府办公室《关于印发绵阳市食品药品监督管理局主要职责内设机构和人员编制规定的通知》（绵府办发〔2013〕58号），设立</w:t>
      </w:r>
      <w:r>
        <w:rPr>
          <w:rFonts w:hint="eastAsia" w:ascii="仿宋" w:hAnsi="仿宋" w:eastAsia="仿宋" w:cs="仿宋_GB2312"/>
          <w:sz w:val="32"/>
          <w:szCs w:val="32"/>
          <w:lang w:eastAsia="zh-CN"/>
        </w:rPr>
        <w:t>原</w:t>
      </w:r>
      <w:r>
        <w:rPr>
          <w:rFonts w:hint="eastAsia" w:ascii="仿宋" w:hAnsi="仿宋" w:eastAsia="仿宋" w:cs="仿宋_GB2312"/>
          <w:sz w:val="32"/>
          <w:szCs w:val="32"/>
        </w:rPr>
        <w:t>绵阳市食品药品监督管理局，为市政府工作部门。</w:t>
      </w:r>
      <w:r>
        <w:rPr>
          <w:rFonts w:hint="eastAsia" w:ascii="仿宋" w:hAnsi="仿宋" w:eastAsia="仿宋" w:cs="仿宋_GB2312"/>
          <w:sz w:val="32"/>
          <w:szCs w:val="32"/>
          <w:lang w:eastAsia="zh-CN"/>
        </w:rPr>
        <w:t>原</w:t>
      </w:r>
      <w:r>
        <w:rPr>
          <w:rFonts w:hint="eastAsia" w:ascii="仿宋" w:hAnsi="仿宋" w:eastAsia="仿宋" w:cs="仿宋_GB2312"/>
          <w:sz w:val="32"/>
          <w:szCs w:val="32"/>
        </w:rPr>
        <w:t>市食品药品监督管理局挂绵阳市食品安全委员会办公室牌子，下属二级预算单位4个，其中行政单位1个是</w:t>
      </w:r>
      <w:r>
        <w:rPr>
          <w:rFonts w:hint="eastAsia" w:ascii="仿宋" w:hAnsi="仿宋" w:eastAsia="仿宋" w:cs="仿宋_GB2312"/>
          <w:sz w:val="32"/>
          <w:szCs w:val="32"/>
          <w:lang w:eastAsia="zh-CN"/>
        </w:rPr>
        <w:t>原</w:t>
      </w:r>
      <w:r>
        <w:rPr>
          <w:rFonts w:hint="eastAsia" w:ascii="仿宋" w:hAnsi="仿宋" w:eastAsia="仿宋" w:cs="仿宋_GB2312"/>
          <w:sz w:val="32"/>
          <w:szCs w:val="32"/>
        </w:rPr>
        <w:t>绵阳市食品药品监督管理局</w:t>
      </w:r>
      <w:r>
        <w:rPr>
          <w:rFonts w:hint="eastAsia" w:ascii="仿宋" w:hAnsi="仿宋" w:eastAsia="仿宋" w:cs="仿宋_GB2312"/>
          <w:sz w:val="32"/>
          <w:szCs w:val="32"/>
          <w:lang w:eastAsia="zh-CN"/>
        </w:rPr>
        <w:t>机关</w:t>
      </w:r>
      <w:r>
        <w:rPr>
          <w:rFonts w:hint="eastAsia" w:ascii="仿宋" w:hAnsi="仿宋" w:eastAsia="仿宋" w:cs="仿宋_GB2312"/>
          <w:sz w:val="32"/>
          <w:szCs w:val="32"/>
        </w:rPr>
        <w:t>，参照公务员法管理的事业单位1个，其他事业单位2个，分别是绵阳市食品药品稽查支队、绵阳市食品药品检验所和绵阳市药品不良反应监测中心。</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（二）机构职能。</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贯彻执行国家有关食品（含食品添加剂、保健食品，下同）安全、药品（含中药、民族药，下同）、医疗器械、化妆品监督管理的方针政策和法律法规；负责本部门依法行政工作，落实行政执法责任制；制定全市食品、药品、医疗器械、化妆品监督管理的意见，推动建立落实食品、药品、医疗器械、化妆品安全企业主体责任、各级人民政府分级负责的机制，建立食品药品重大信息直报制度，并组织实施和监督检查，着力防范区域性、系统性食品药品安全风险。在食品、药品、医疗器械、化妆品质量安全监管的职责范围内对食品、药品、医疗器械、化妆品生产经营等领域的安全生产工作实施监督管理，履行安全生产行业监督管理职责。</w:t>
      </w:r>
      <w:r>
        <w:rPr>
          <w:rFonts w:hint="eastAsia" w:ascii="仿宋" w:hAnsi="仿宋" w:eastAsia="仿宋" w:cs="仿宋_GB2312"/>
          <w:sz w:val="32"/>
          <w:szCs w:val="32"/>
        </w:rPr>
        <w:br w:type="textWrapping"/>
      </w:r>
      <w:r>
        <w:rPr>
          <w:rFonts w:hint="eastAsia" w:ascii="仿宋" w:hAnsi="仿宋" w:eastAsia="仿宋" w:cs="仿宋_GB2312"/>
          <w:sz w:val="32"/>
          <w:szCs w:val="32"/>
        </w:rPr>
        <w:t xml:space="preserve">　　2.负责全市食品行政审批的监督实施。建立食品安全隐患排查治理机制，制定全市食品安全检查年度计划、重大整顿治理方案并组织落实。负责建立食品安全信息统一公布制度，公布重大食品安全信息。参与制定食品安全风险监测计划、食品安全地方标准，根据食品安全风险监测计划开展食品安全风险监测工作。 </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3.负责全市食盐生产经营质量安全管理与监督执法。</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 xml:space="preserve">4.监督实施全市药品和医疗器械的标准、分类管理制度，监督实施药品和医疗器械的研制、生产、经营、使用等质量管理规范，监督检查药品和医疗器械的注册工作。建立药品不良反应、医疗器械不良事件监测体系，并开展监测和处置工作。监督实施化妆品监督管理办法。参与制定我市基本药物目录内药品生产的鼓励扶持政策，配合实施国家基本药物制度。 </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5.组织实施食品、药品、医疗器械、化妆品监督管理的稽查制度，组织查处重大违法行为。负责不安全食品和存在安全隐患的药品、医疗器械、化妆品召回的监督管理。依法审查食品、药品、医疗器械、化妆品广告内容。</w:t>
      </w:r>
      <w:r>
        <w:rPr>
          <w:rFonts w:hint="eastAsia" w:ascii="仿宋" w:hAnsi="仿宋" w:eastAsia="仿宋" w:cs="仿宋_GB2312"/>
          <w:sz w:val="32"/>
          <w:szCs w:val="32"/>
        </w:rPr>
        <w:br w:type="textWrapping"/>
      </w:r>
      <w:r>
        <w:rPr>
          <w:rFonts w:hint="eastAsia" w:ascii="仿宋" w:hAnsi="仿宋" w:eastAsia="仿宋" w:cs="仿宋_GB2312"/>
          <w:sz w:val="32"/>
          <w:szCs w:val="32"/>
        </w:rPr>
        <w:t>　　6.负责食品、药品、医疗器械、化妆品安全事故应急体系建设，组织和指导食品、药品、医疗器械、化妆品安全事故应急处置和调查处理工作，监督事故查处落实情况。</w:t>
      </w:r>
      <w:r>
        <w:rPr>
          <w:rFonts w:hint="eastAsia" w:ascii="仿宋" w:hAnsi="仿宋" w:eastAsia="仿宋" w:cs="仿宋_GB2312"/>
          <w:sz w:val="32"/>
          <w:szCs w:val="32"/>
        </w:rPr>
        <w:br w:type="textWrapping"/>
      </w:r>
      <w:r>
        <w:rPr>
          <w:rFonts w:hint="eastAsia" w:ascii="仿宋" w:hAnsi="仿宋" w:eastAsia="仿宋" w:cs="仿宋_GB2312"/>
          <w:sz w:val="32"/>
          <w:szCs w:val="32"/>
        </w:rPr>
        <w:t>　　7.负责制定食品、药品、医疗器械、化妆品安全科技发展规划并组织实施，推动食品药品检验检测体系、电子监管追溯体系和信息化建设。</w:t>
      </w:r>
      <w:r>
        <w:rPr>
          <w:rFonts w:hint="eastAsia" w:ascii="仿宋" w:hAnsi="仿宋" w:eastAsia="仿宋" w:cs="仿宋_GB2312"/>
          <w:sz w:val="32"/>
          <w:szCs w:val="32"/>
        </w:rPr>
        <w:br w:type="textWrapping"/>
      </w:r>
      <w:r>
        <w:rPr>
          <w:rFonts w:hint="eastAsia" w:ascii="仿宋" w:hAnsi="仿宋" w:eastAsia="仿宋" w:cs="仿宋_GB2312"/>
          <w:sz w:val="32"/>
          <w:szCs w:val="32"/>
        </w:rPr>
        <w:t xml:space="preserve">　　8.负责开展食品、药品、医疗器械、化妆品安全宣传、教育培训、对外交流与合作。推进诚信体系建设。 </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 xml:space="preserve">9.指导督促药品食品生产经营企业在生产加工、回收销毁过程中落实环境保护主体责任，防止环境污染；指导督促餐饮服务单位加强环境保护，规范处置餐厨废弃物。 </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10.指导（市、区）、科学城和市级园区食品药品监督管理工作，规范行政执法行为，完善行政执法与刑事司法衔接机制。</w:t>
      </w:r>
      <w:r>
        <w:rPr>
          <w:rFonts w:hint="eastAsia" w:ascii="仿宋" w:hAnsi="仿宋" w:eastAsia="仿宋" w:cs="仿宋_GB2312"/>
          <w:sz w:val="32"/>
          <w:szCs w:val="32"/>
        </w:rPr>
        <w:br w:type="textWrapping"/>
      </w:r>
      <w:r>
        <w:rPr>
          <w:rFonts w:hint="eastAsia" w:ascii="仿宋" w:hAnsi="仿宋" w:eastAsia="仿宋" w:cs="仿宋_GB2312"/>
          <w:sz w:val="32"/>
          <w:szCs w:val="32"/>
        </w:rPr>
        <w:t>　　11.承担市食品安全委员会日常工作。负责食品安全监督管理综合协调，推动健全协调联动机制。督促检查县（市、区）人民政府、科学城办事处、市级园区管委会履行食品安全监督管理职责并负责考核评价。</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12.承办市政府以及市食品安全委员会交办的其他事项。</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（三）人员概况。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原</w:t>
      </w:r>
      <w:r>
        <w:rPr>
          <w:rFonts w:hint="eastAsia" w:ascii="仿宋" w:hAnsi="仿宋" w:eastAsia="仿宋" w:cs="仿宋_GB2312"/>
          <w:sz w:val="32"/>
          <w:szCs w:val="32"/>
        </w:rPr>
        <w:t>绵阳市食品药品监督管理局行政编制54人、工勤编制5人、参公管理事业编制27人、事业编制49人，201</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年末实有行政编制</w:t>
      </w:r>
      <w:r>
        <w:rPr>
          <w:rFonts w:hint="eastAsia" w:ascii="仿宋" w:hAnsi="仿宋" w:eastAsia="仿宋" w:cs="仿宋_GB2312"/>
          <w:sz w:val="32"/>
          <w:szCs w:val="32"/>
          <w:lang w:val="en-US" w:eastAsia="zh-CN"/>
        </w:rPr>
        <w:t>50</w:t>
      </w:r>
      <w:r>
        <w:rPr>
          <w:rFonts w:hint="eastAsia" w:ascii="仿宋" w:hAnsi="仿宋" w:eastAsia="仿宋" w:cs="仿宋_GB2312"/>
          <w:sz w:val="32"/>
          <w:szCs w:val="32"/>
        </w:rPr>
        <w:t>人、工勤编制5人、参公管理事业编制</w:t>
      </w:r>
      <w:r>
        <w:rPr>
          <w:rFonts w:hint="eastAsia" w:ascii="仿宋" w:hAnsi="仿宋" w:eastAsia="仿宋" w:cs="仿宋_GB2312"/>
          <w:sz w:val="32"/>
          <w:szCs w:val="32"/>
          <w:lang w:val="en-US" w:eastAsia="zh-CN"/>
        </w:rPr>
        <w:t>26</w:t>
      </w:r>
      <w:r>
        <w:rPr>
          <w:rFonts w:hint="eastAsia" w:ascii="仿宋" w:hAnsi="仿宋" w:eastAsia="仿宋" w:cs="仿宋_GB2312"/>
          <w:sz w:val="32"/>
          <w:szCs w:val="32"/>
        </w:rPr>
        <w:t>人、事业编制</w:t>
      </w:r>
      <w:r>
        <w:rPr>
          <w:rFonts w:hint="eastAsia" w:ascii="仿宋" w:hAnsi="仿宋" w:eastAsia="仿宋" w:cs="仿宋_GB2312"/>
          <w:sz w:val="32"/>
          <w:szCs w:val="32"/>
          <w:lang w:val="en-US" w:eastAsia="zh-CN"/>
        </w:rPr>
        <w:t>44</w:t>
      </w:r>
      <w:r>
        <w:rPr>
          <w:rFonts w:hint="eastAsia" w:ascii="仿宋" w:hAnsi="仿宋" w:eastAsia="仿宋" w:cs="仿宋_GB2312"/>
          <w:sz w:val="32"/>
          <w:szCs w:val="32"/>
        </w:rPr>
        <w:t>人，离休人员1人。</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二、部门财政资金收支情况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（一）部门财政资金收入情况。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201</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年</w:t>
      </w:r>
      <w:r>
        <w:rPr>
          <w:rFonts w:hint="eastAsia" w:ascii="仿宋" w:hAnsi="仿宋" w:eastAsia="仿宋" w:cs="仿宋_GB2312"/>
          <w:sz w:val="32"/>
          <w:szCs w:val="32"/>
          <w:lang w:eastAsia="zh-CN"/>
        </w:rPr>
        <w:t>原</w:t>
      </w:r>
      <w:r>
        <w:rPr>
          <w:rFonts w:hint="eastAsia" w:ascii="仿宋" w:hAnsi="仿宋" w:eastAsia="仿宋" w:cs="仿宋_GB2312"/>
          <w:sz w:val="32"/>
          <w:szCs w:val="32"/>
        </w:rPr>
        <w:t>绵阳市食品药品监督管理局财政</w:t>
      </w:r>
      <w:r>
        <w:rPr>
          <w:rFonts w:hint="eastAsia" w:ascii="仿宋" w:hAnsi="仿宋" w:eastAsia="仿宋" w:cs="仿宋_GB2312"/>
          <w:sz w:val="32"/>
          <w:szCs w:val="32"/>
          <w:lang w:eastAsia="zh-CN"/>
        </w:rPr>
        <w:t>资金总</w:t>
      </w:r>
      <w:r>
        <w:rPr>
          <w:rFonts w:hint="eastAsia" w:ascii="仿宋" w:hAnsi="仿宋" w:eastAsia="仿宋" w:cs="仿宋_GB2312"/>
          <w:sz w:val="32"/>
          <w:szCs w:val="32"/>
        </w:rPr>
        <w:t>收入</w:t>
      </w:r>
      <w:r>
        <w:rPr>
          <w:rFonts w:hint="eastAsia" w:ascii="仿宋" w:hAnsi="仿宋" w:eastAsia="仿宋" w:cs="仿宋_GB2312"/>
          <w:sz w:val="32"/>
          <w:szCs w:val="32"/>
          <w:lang w:val="en-US" w:eastAsia="zh-CN"/>
        </w:rPr>
        <w:t>5433.03万元，其中：当年安排4071.68</w:t>
      </w:r>
      <w:r>
        <w:rPr>
          <w:rFonts w:hint="eastAsia" w:ascii="仿宋" w:hAnsi="仿宋" w:eastAsia="仿宋" w:cs="仿宋_GB2312"/>
          <w:sz w:val="32"/>
          <w:szCs w:val="32"/>
        </w:rPr>
        <w:t>万元</w:t>
      </w:r>
      <w:r>
        <w:rPr>
          <w:rFonts w:hint="eastAsia" w:ascii="仿宋" w:hAnsi="仿宋" w:eastAsia="仿宋" w:cs="仿宋_GB2312"/>
          <w:sz w:val="32"/>
          <w:szCs w:val="32"/>
          <w:lang w:eastAsia="zh-CN"/>
        </w:rPr>
        <w:t>、上年结转结余</w:t>
      </w:r>
      <w:r>
        <w:rPr>
          <w:rFonts w:hint="eastAsia" w:ascii="仿宋" w:hAnsi="仿宋" w:eastAsia="仿宋" w:cs="仿宋_GB2312"/>
          <w:sz w:val="32"/>
          <w:szCs w:val="32"/>
          <w:lang w:val="en-US" w:eastAsia="zh-CN"/>
        </w:rPr>
        <w:t>1361.35万元</w:t>
      </w:r>
      <w:r>
        <w:rPr>
          <w:rFonts w:hint="eastAsia" w:ascii="仿宋" w:hAnsi="仿宋" w:eastAsia="仿宋" w:cs="仿宋_GB2312"/>
          <w:sz w:val="32"/>
          <w:szCs w:val="32"/>
        </w:rPr>
        <w:t>。</w:t>
      </w:r>
    </w:p>
    <w:p>
      <w:pPr>
        <w:numPr>
          <w:ilvl w:val="0"/>
          <w:numId w:val="7"/>
        </w:num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部门财政资金支出情况。</w:t>
      </w:r>
    </w:p>
    <w:p>
      <w:pPr>
        <w:numPr>
          <w:ilvl w:val="0"/>
          <w:numId w:val="0"/>
        </w:numPr>
        <w:spacing w:line="580" w:lineRule="exact"/>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201</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年</w:t>
      </w:r>
      <w:r>
        <w:rPr>
          <w:rFonts w:hint="eastAsia" w:ascii="仿宋" w:hAnsi="仿宋" w:eastAsia="仿宋" w:cs="仿宋_GB2312"/>
          <w:sz w:val="32"/>
          <w:szCs w:val="32"/>
          <w:lang w:eastAsia="zh-CN"/>
        </w:rPr>
        <w:t>原</w:t>
      </w:r>
      <w:r>
        <w:rPr>
          <w:rFonts w:hint="eastAsia" w:ascii="仿宋" w:hAnsi="仿宋" w:eastAsia="仿宋" w:cs="仿宋_GB2312"/>
          <w:sz w:val="32"/>
          <w:szCs w:val="32"/>
        </w:rPr>
        <w:t>绵阳市食品药品监督管理局财政资金支出</w:t>
      </w:r>
      <w:r>
        <w:rPr>
          <w:rFonts w:hint="eastAsia" w:ascii="仿宋" w:hAnsi="仿宋" w:eastAsia="仿宋" w:cs="仿宋_GB2312"/>
          <w:sz w:val="32"/>
          <w:szCs w:val="32"/>
          <w:lang w:val="en-US" w:eastAsia="zh-CN"/>
        </w:rPr>
        <w:t>4928.58</w:t>
      </w:r>
      <w:r>
        <w:rPr>
          <w:rFonts w:hint="eastAsia" w:ascii="仿宋" w:hAnsi="仿宋" w:eastAsia="仿宋" w:cs="仿宋_GB2312"/>
          <w:sz w:val="32"/>
          <w:szCs w:val="32"/>
        </w:rPr>
        <w:t>万元，其中：基本支出</w:t>
      </w:r>
      <w:r>
        <w:rPr>
          <w:rFonts w:hint="eastAsia" w:ascii="仿宋" w:hAnsi="仿宋" w:eastAsia="仿宋" w:cs="仿宋_GB2312"/>
          <w:sz w:val="32"/>
          <w:szCs w:val="32"/>
          <w:lang w:val="en-US" w:eastAsia="zh-CN"/>
        </w:rPr>
        <w:t>2603.21</w:t>
      </w:r>
      <w:r>
        <w:rPr>
          <w:rFonts w:hint="eastAsia" w:ascii="仿宋" w:hAnsi="仿宋" w:eastAsia="仿宋" w:cs="仿宋_GB2312"/>
          <w:sz w:val="32"/>
          <w:szCs w:val="32"/>
        </w:rPr>
        <w:t>万元，项目支出</w:t>
      </w:r>
      <w:r>
        <w:rPr>
          <w:rFonts w:hint="eastAsia" w:ascii="仿宋" w:hAnsi="仿宋" w:eastAsia="仿宋" w:cs="仿宋_GB2312"/>
          <w:sz w:val="32"/>
          <w:szCs w:val="32"/>
          <w:lang w:val="en-US" w:eastAsia="zh-CN"/>
        </w:rPr>
        <w:t>2325.37</w:t>
      </w:r>
      <w:r>
        <w:rPr>
          <w:rFonts w:hint="eastAsia" w:ascii="仿宋" w:hAnsi="仿宋" w:eastAsia="仿宋" w:cs="仿宋_GB2312"/>
          <w:sz w:val="32"/>
          <w:szCs w:val="32"/>
        </w:rPr>
        <w:t>万元。</w:t>
      </w:r>
      <w:r>
        <w:rPr>
          <w:rFonts w:hint="eastAsia" w:ascii="仿宋" w:hAnsi="仿宋" w:eastAsia="仿宋" w:cs="仿宋_GB2312"/>
          <w:sz w:val="32"/>
          <w:szCs w:val="32"/>
          <w:lang w:eastAsia="zh-CN"/>
        </w:rPr>
        <w:t>年末结转结余</w:t>
      </w:r>
      <w:r>
        <w:rPr>
          <w:rFonts w:hint="eastAsia" w:ascii="仿宋" w:hAnsi="仿宋" w:eastAsia="仿宋" w:cs="仿宋_GB2312"/>
          <w:sz w:val="32"/>
          <w:szCs w:val="32"/>
          <w:lang w:val="en-US" w:eastAsia="zh-CN"/>
        </w:rPr>
        <w:t>504.45万元。</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三、部门整体预算绩效管理情况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（一）部门预算管理。</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1.目标制定</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2018年，我局根据年初部门预算制定了绩效目标，绩效目标从项目完成、项目效益、满意度等方面设置，综合反映项目预期完成的数量、成本、时效、质量，预期达到的社会效益、经济效益、生态效益、可持续影响以及服务对象满意度等情况。同时，我局根据当年上级专项资金分配情况，编制上级专项资金实施方案，实施方案均包括项目目标、实施单位、项目内容、执行时间、监督与评估等内容。</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2.目标完成</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2018年部门绩效目标均已在规定时间全部完成。</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3.预算编制准确</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按照预算管理有关规定，我局部门预算的编制实行综合预算制度，即全部收入和支出都反映在预算中。2018年基本支出根据部门预算口径、部门绩效目标和单位编制内实有人数及定额标准编制。我局部门预算与部门工作任务（项目）基本匹配，基本体现了部门主要工作整体需求情况；基本支出与项目支出边界界定清晰明确；项目间内容划分界定清晰；预算测算与相关定额标准基本相符。</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4.支出控制</w:t>
      </w:r>
    </w:p>
    <w:p>
      <w:pPr>
        <w:numPr>
          <w:ilvl w:val="0"/>
          <w:numId w:val="0"/>
        </w:numPr>
        <w:spacing w:line="580" w:lineRule="exact"/>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rPr>
        <w:t>201</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年</w:t>
      </w:r>
      <w:r>
        <w:rPr>
          <w:rFonts w:hint="eastAsia" w:ascii="仿宋" w:hAnsi="仿宋" w:eastAsia="仿宋" w:cs="仿宋_GB2312"/>
          <w:sz w:val="32"/>
          <w:szCs w:val="32"/>
          <w:lang w:eastAsia="zh-CN"/>
        </w:rPr>
        <w:t>原</w:t>
      </w:r>
      <w:r>
        <w:rPr>
          <w:rFonts w:hint="eastAsia" w:ascii="仿宋" w:hAnsi="仿宋" w:eastAsia="仿宋" w:cs="仿宋_GB2312"/>
          <w:sz w:val="32"/>
          <w:szCs w:val="32"/>
        </w:rPr>
        <w:t>绵阳市食品药品监督管理局财政</w:t>
      </w:r>
      <w:r>
        <w:rPr>
          <w:rFonts w:hint="eastAsia" w:ascii="仿宋" w:hAnsi="仿宋" w:eastAsia="仿宋" w:cs="仿宋_GB2312"/>
          <w:sz w:val="32"/>
          <w:szCs w:val="32"/>
          <w:lang w:eastAsia="zh-CN"/>
        </w:rPr>
        <w:t>资金总</w:t>
      </w:r>
      <w:r>
        <w:rPr>
          <w:rFonts w:hint="eastAsia" w:ascii="仿宋" w:hAnsi="仿宋" w:eastAsia="仿宋" w:cs="仿宋_GB2312"/>
          <w:sz w:val="32"/>
          <w:szCs w:val="32"/>
        </w:rPr>
        <w:t>收入</w:t>
      </w:r>
      <w:r>
        <w:rPr>
          <w:rFonts w:hint="eastAsia" w:ascii="仿宋" w:hAnsi="仿宋" w:eastAsia="仿宋" w:cs="仿宋_GB2312"/>
          <w:sz w:val="32"/>
          <w:szCs w:val="32"/>
          <w:lang w:val="en-US" w:eastAsia="zh-CN"/>
        </w:rPr>
        <w:t>5433.03万元，其中：当年安排4071.68</w:t>
      </w:r>
      <w:r>
        <w:rPr>
          <w:rFonts w:hint="eastAsia" w:ascii="仿宋" w:hAnsi="仿宋" w:eastAsia="仿宋" w:cs="仿宋_GB2312"/>
          <w:sz w:val="32"/>
          <w:szCs w:val="32"/>
        </w:rPr>
        <w:t>万元</w:t>
      </w:r>
      <w:r>
        <w:rPr>
          <w:rFonts w:hint="eastAsia" w:ascii="仿宋" w:hAnsi="仿宋" w:eastAsia="仿宋" w:cs="仿宋_GB2312"/>
          <w:sz w:val="32"/>
          <w:szCs w:val="32"/>
          <w:lang w:eastAsia="zh-CN"/>
        </w:rPr>
        <w:t>、上年结转结余</w:t>
      </w:r>
      <w:r>
        <w:rPr>
          <w:rFonts w:hint="eastAsia" w:ascii="仿宋" w:hAnsi="仿宋" w:eastAsia="仿宋" w:cs="仿宋_GB2312"/>
          <w:sz w:val="32"/>
          <w:szCs w:val="32"/>
          <w:lang w:val="en-US" w:eastAsia="zh-CN"/>
        </w:rPr>
        <w:t>1361.35万元</w:t>
      </w:r>
      <w:r>
        <w:rPr>
          <w:rFonts w:hint="eastAsia" w:ascii="仿宋" w:hAnsi="仿宋" w:eastAsia="仿宋" w:cs="仿宋_GB2312"/>
          <w:sz w:val="32"/>
          <w:szCs w:val="32"/>
        </w:rPr>
        <w:t>。财政资金支出</w:t>
      </w:r>
      <w:r>
        <w:rPr>
          <w:rFonts w:hint="eastAsia" w:ascii="仿宋" w:hAnsi="仿宋" w:eastAsia="仿宋" w:cs="仿宋_GB2312"/>
          <w:sz w:val="32"/>
          <w:szCs w:val="32"/>
          <w:lang w:val="en-US" w:eastAsia="zh-CN"/>
        </w:rPr>
        <w:t>4928.58</w:t>
      </w:r>
      <w:r>
        <w:rPr>
          <w:rFonts w:hint="eastAsia" w:ascii="仿宋" w:hAnsi="仿宋" w:eastAsia="仿宋" w:cs="仿宋_GB2312"/>
          <w:sz w:val="32"/>
          <w:szCs w:val="32"/>
        </w:rPr>
        <w:t>万元，</w:t>
      </w:r>
      <w:r>
        <w:rPr>
          <w:rFonts w:hint="eastAsia" w:ascii="仿宋" w:hAnsi="仿宋" w:eastAsia="仿宋" w:cs="仿宋_GB2312"/>
          <w:sz w:val="32"/>
          <w:szCs w:val="32"/>
          <w:lang w:eastAsia="zh-CN"/>
        </w:rPr>
        <w:t>年末结转结余</w:t>
      </w:r>
      <w:r>
        <w:rPr>
          <w:rFonts w:hint="eastAsia" w:ascii="仿宋" w:hAnsi="仿宋" w:eastAsia="仿宋" w:cs="仿宋_GB2312"/>
          <w:sz w:val="32"/>
          <w:szCs w:val="32"/>
          <w:lang w:val="en-US" w:eastAsia="zh-CN"/>
        </w:rPr>
        <w:t>504.45万元。</w:t>
      </w:r>
      <w:r>
        <w:rPr>
          <w:rFonts w:hint="eastAsia" w:ascii="仿宋" w:hAnsi="仿宋" w:eastAsia="仿宋" w:cs="仿宋_GB2312"/>
          <w:sz w:val="32"/>
          <w:szCs w:val="32"/>
        </w:rPr>
        <w:t>预决算偏差度为</w:t>
      </w:r>
      <w:r>
        <w:rPr>
          <w:rFonts w:hint="eastAsia" w:ascii="仿宋" w:hAnsi="仿宋" w:eastAsia="仿宋" w:cs="仿宋_GB2312"/>
          <w:sz w:val="32"/>
          <w:szCs w:val="32"/>
          <w:lang w:val="en-US" w:eastAsia="zh-CN"/>
        </w:rPr>
        <w:t>9.28</w:t>
      </w:r>
      <w:r>
        <w:rPr>
          <w:rFonts w:hint="eastAsia" w:ascii="仿宋" w:hAnsi="仿宋" w:eastAsia="仿宋" w:cs="仿宋_GB2312"/>
          <w:sz w:val="32"/>
          <w:szCs w:val="32"/>
        </w:rPr>
        <w:t>%。</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5.预算动态调整</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无</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6.执行进度与完成情况</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rPr>
        <w:t>201</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年</w:t>
      </w:r>
      <w:r>
        <w:rPr>
          <w:rFonts w:hint="eastAsia" w:ascii="仿宋" w:hAnsi="仿宋" w:eastAsia="仿宋" w:cs="仿宋_GB2312"/>
          <w:sz w:val="32"/>
          <w:szCs w:val="32"/>
          <w:lang w:eastAsia="zh-CN"/>
        </w:rPr>
        <w:t>原</w:t>
      </w:r>
      <w:r>
        <w:rPr>
          <w:rFonts w:hint="eastAsia" w:ascii="仿宋" w:hAnsi="仿宋" w:eastAsia="仿宋" w:cs="仿宋_GB2312"/>
          <w:sz w:val="32"/>
          <w:szCs w:val="32"/>
        </w:rPr>
        <w:t>绵阳市食品药品监督管理局财政</w:t>
      </w:r>
      <w:r>
        <w:rPr>
          <w:rFonts w:hint="eastAsia" w:ascii="仿宋" w:hAnsi="仿宋" w:eastAsia="仿宋" w:cs="仿宋_GB2312"/>
          <w:sz w:val="32"/>
          <w:szCs w:val="32"/>
          <w:lang w:eastAsia="zh-CN"/>
        </w:rPr>
        <w:t>资金总</w:t>
      </w:r>
      <w:r>
        <w:rPr>
          <w:rFonts w:hint="eastAsia" w:ascii="仿宋" w:hAnsi="仿宋" w:eastAsia="仿宋" w:cs="仿宋_GB2312"/>
          <w:sz w:val="32"/>
          <w:szCs w:val="32"/>
        </w:rPr>
        <w:t>收入</w:t>
      </w:r>
      <w:r>
        <w:rPr>
          <w:rFonts w:hint="eastAsia" w:ascii="仿宋" w:hAnsi="仿宋" w:eastAsia="仿宋" w:cs="仿宋_GB2312"/>
          <w:sz w:val="32"/>
          <w:szCs w:val="32"/>
          <w:lang w:val="en-US" w:eastAsia="zh-CN"/>
        </w:rPr>
        <w:t>5433.03万元，其中：当年安排4071.68</w:t>
      </w:r>
      <w:r>
        <w:rPr>
          <w:rFonts w:hint="eastAsia" w:ascii="仿宋" w:hAnsi="仿宋" w:eastAsia="仿宋" w:cs="仿宋_GB2312"/>
          <w:sz w:val="32"/>
          <w:szCs w:val="32"/>
        </w:rPr>
        <w:t>万元</w:t>
      </w:r>
      <w:r>
        <w:rPr>
          <w:rFonts w:hint="eastAsia" w:ascii="仿宋" w:hAnsi="仿宋" w:eastAsia="仿宋" w:cs="仿宋_GB2312"/>
          <w:sz w:val="32"/>
          <w:szCs w:val="32"/>
          <w:lang w:eastAsia="zh-CN"/>
        </w:rPr>
        <w:t>、上年结转结余</w:t>
      </w:r>
      <w:r>
        <w:rPr>
          <w:rFonts w:hint="eastAsia" w:ascii="仿宋" w:hAnsi="仿宋" w:eastAsia="仿宋" w:cs="仿宋_GB2312"/>
          <w:sz w:val="32"/>
          <w:szCs w:val="32"/>
          <w:lang w:val="en-US" w:eastAsia="zh-CN"/>
        </w:rPr>
        <w:t>1361.35万元</w:t>
      </w:r>
      <w:r>
        <w:rPr>
          <w:rFonts w:hint="eastAsia" w:ascii="仿宋" w:hAnsi="仿宋" w:eastAsia="仿宋" w:cs="仿宋_GB2312"/>
          <w:sz w:val="32"/>
          <w:szCs w:val="32"/>
        </w:rPr>
        <w:t>。财政资金支出</w:t>
      </w:r>
      <w:r>
        <w:rPr>
          <w:rFonts w:hint="eastAsia" w:ascii="仿宋" w:hAnsi="仿宋" w:eastAsia="仿宋" w:cs="仿宋_GB2312"/>
          <w:sz w:val="32"/>
          <w:szCs w:val="32"/>
          <w:lang w:val="en-US" w:eastAsia="zh-CN"/>
        </w:rPr>
        <w:t>4928.58</w:t>
      </w:r>
      <w:r>
        <w:rPr>
          <w:rFonts w:hint="eastAsia" w:ascii="仿宋" w:hAnsi="仿宋" w:eastAsia="仿宋" w:cs="仿宋_GB2312"/>
          <w:sz w:val="32"/>
          <w:szCs w:val="32"/>
        </w:rPr>
        <w:t>万元，</w:t>
      </w:r>
      <w:r>
        <w:rPr>
          <w:rFonts w:hint="eastAsia" w:ascii="仿宋" w:hAnsi="仿宋" w:eastAsia="仿宋" w:cs="仿宋_GB2312"/>
          <w:sz w:val="32"/>
          <w:szCs w:val="32"/>
          <w:lang w:eastAsia="zh-CN"/>
        </w:rPr>
        <w:t>执行进度为</w:t>
      </w:r>
      <w:r>
        <w:rPr>
          <w:rFonts w:hint="eastAsia" w:ascii="仿宋" w:hAnsi="仿宋" w:eastAsia="仿宋" w:cs="仿宋_GB2312"/>
          <w:sz w:val="32"/>
          <w:szCs w:val="32"/>
          <w:lang w:val="en-US" w:eastAsia="zh-CN"/>
        </w:rPr>
        <w:t>90.72%。</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7.违规记录</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无</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（二）专项预算管理。</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1.程序严密</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我局部门专项资金预算编制遵循“二上二下”的基本流程，并通过人大常委会审查批准。</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2.规划合理</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我局部门专项项目设置与年度重点工作一致，项目年度绩效目标与专项中长期规划一致。</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3.结果符合</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我局食品药品专项整治及综合监管、执法办案、检验检测、药品不良反应监测等项目的实施，全面提升了食品药品监管执法的履职能力，加大了对制售假劣食品、化妆品、药品和医疗器械违法犯罪活动的打击力度，强化了执法和监管力度，进一步规范药品、化妆品、医疗器械、食品生产经营和餐饮服务秩序。</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4.分配科学、及时</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我局在收到财政局批复的预算文件15日内，严格按照核定的部门预算批复下级单位预算。</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5.绩效目标完成</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2018年部门绩效目标均已在规定时间全部完成。</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6.实施绩效</w:t>
      </w:r>
    </w:p>
    <w:p>
      <w:pPr>
        <w:spacing w:line="600" w:lineRule="exact"/>
        <w:ind w:firstLine="640" w:firstLineChars="200"/>
        <w:rPr>
          <w:rFonts w:hint="eastAsia" w:ascii="仿宋" w:hAnsi="仿宋" w:eastAsia="仿宋" w:cs="仿宋_GB2312"/>
          <w:sz w:val="32"/>
          <w:szCs w:val="32"/>
          <w:lang w:val="en-US" w:eastAsia="zh-CN"/>
        </w:rPr>
      </w:pPr>
      <w:r>
        <w:rPr>
          <w:rFonts w:hint="eastAsia" w:ascii="仿宋_GB2312" w:hAnsi="黑体" w:eastAsia="仿宋_GB2312"/>
          <w:sz w:val="32"/>
          <w:szCs w:val="32"/>
        </w:rPr>
        <w:t>201</w:t>
      </w:r>
      <w:r>
        <w:rPr>
          <w:rFonts w:hint="eastAsia" w:ascii="仿宋_GB2312" w:hAnsi="黑体" w:eastAsia="仿宋_GB2312"/>
          <w:sz w:val="32"/>
          <w:szCs w:val="32"/>
          <w:lang w:val="en-US" w:eastAsia="zh-CN"/>
        </w:rPr>
        <w:t>8</w:t>
      </w:r>
      <w:r>
        <w:rPr>
          <w:rFonts w:hint="eastAsia" w:ascii="仿宋_GB2312" w:hAnsi="黑体" w:eastAsia="仿宋_GB2312"/>
          <w:sz w:val="32"/>
          <w:szCs w:val="32"/>
        </w:rPr>
        <w:t>年，</w:t>
      </w:r>
      <w:r>
        <w:rPr>
          <w:rFonts w:hint="eastAsia" w:ascii="仿宋_GB2312" w:eastAsia="仿宋_GB2312"/>
          <w:sz w:val="32"/>
          <w:szCs w:val="32"/>
        </w:rPr>
        <w:t>在市委、市政府的正确领导和市人大、政协的关心监督下，</w:t>
      </w:r>
      <w:r>
        <w:rPr>
          <w:rFonts w:hint="eastAsia" w:ascii="仿宋_GB2312" w:hAnsi="黑体" w:eastAsia="仿宋_GB2312"/>
          <w:sz w:val="32"/>
          <w:szCs w:val="32"/>
        </w:rPr>
        <w:t>我们严格落实全面从严治党要求，以争创“国家食品安全示范城市”为契机，切实落实“四有两责”，</w:t>
      </w:r>
      <w:r>
        <w:rPr>
          <w:rFonts w:hint="eastAsia" w:ascii="仿宋_GB2312" w:eastAsia="仿宋_GB2312"/>
          <w:sz w:val="32"/>
          <w:szCs w:val="32"/>
        </w:rPr>
        <w:t>运用“四个最严”依法监管，食品药品安全保障水平加快提升，</w:t>
      </w:r>
      <w:r>
        <w:rPr>
          <w:rFonts w:hint="eastAsia" w:ascii="仿宋_GB2312" w:hAnsi="仿宋" w:eastAsia="仿宋_GB2312"/>
          <w:color w:val="000000"/>
          <w:sz w:val="32"/>
          <w:szCs w:val="32"/>
        </w:rPr>
        <w:t>群众满意度和获得感</w:t>
      </w:r>
      <w:r>
        <w:rPr>
          <w:rFonts w:hint="eastAsia" w:ascii="仿宋_GB2312" w:hAnsi="仿宋" w:eastAsia="仿宋_GB2312"/>
          <w:color w:val="000000"/>
          <w:sz w:val="32"/>
          <w:szCs w:val="32"/>
          <w:lang w:eastAsia="zh-CN"/>
        </w:rPr>
        <w:t>不断提高</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2018</w:t>
      </w:r>
      <w:r>
        <w:rPr>
          <w:rFonts w:hint="eastAsia" w:ascii="仿宋_GB2312" w:hAnsi="仿宋" w:eastAsia="仿宋_GB2312"/>
          <w:color w:val="000000"/>
          <w:sz w:val="32"/>
          <w:szCs w:val="32"/>
          <w:lang w:eastAsia="zh-CN"/>
        </w:rPr>
        <w:t>年</w:t>
      </w:r>
      <w:r>
        <w:rPr>
          <w:rFonts w:hint="eastAsia" w:ascii="仿宋_GB2312" w:eastAsia="仿宋_GB2312"/>
          <w:sz w:val="32"/>
          <w:szCs w:val="32"/>
        </w:rPr>
        <w:t>全省食品药品监管系统政务服务优化行动</w:t>
      </w:r>
      <w:r>
        <w:rPr>
          <w:rFonts w:hint="eastAsia" w:ascii="仿宋_GB2312" w:eastAsia="仿宋_GB2312"/>
          <w:sz w:val="32"/>
          <w:szCs w:val="32"/>
          <w:lang w:eastAsia="zh-CN"/>
        </w:rPr>
        <w:t>、应急工作、三小备案等多项工作现场会相继在绵阳召开，</w:t>
      </w:r>
      <w:r>
        <w:rPr>
          <w:rFonts w:hint="eastAsia" w:ascii="仿宋_GB2312" w:eastAsia="仿宋_GB2312"/>
          <w:sz w:val="32"/>
          <w:szCs w:val="32"/>
        </w:rPr>
        <w:t>全市食品安全总体状况满意度</w:t>
      </w:r>
      <w:r>
        <w:rPr>
          <w:rFonts w:hint="eastAsia" w:ascii="仿宋_GB2312" w:eastAsia="仿宋_GB2312"/>
          <w:sz w:val="32"/>
          <w:szCs w:val="32"/>
          <w:lang w:eastAsia="zh-CN"/>
        </w:rPr>
        <w:t>多年</w:t>
      </w:r>
      <w:r>
        <w:rPr>
          <w:rFonts w:hint="eastAsia" w:ascii="仿宋_GB2312" w:eastAsia="仿宋_GB2312"/>
          <w:sz w:val="32"/>
          <w:szCs w:val="32"/>
        </w:rPr>
        <w:t>居全省第一，</w:t>
      </w:r>
      <w:r>
        <w:rPr>
          <w:rFonts w:hint="eastAsia" w:ascii="仿宋_GB2312" w:eastAsia="仿宋_GB2312"/>
          <w:color w:val="000000"/>
          <w:sz w:val="32"/>
          <w:szCs w:val="32"/>
        </w:rPr>
        <w:t>食品安全工作被省政府评为A级受到省食安委通报表扬</w:t>
      </w:r>
      <w:r>
        <w:rPr>
          <w:rFonts w:hint="eastAsia" w:ascii="仿宋_GB2312" w:eastAsia="仿宋_GB2312"/>
          <w:sz w:val="32"/>
          <w:szCs w:val="32"/>
        </w:rPr>
        <w:t>。</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1</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夯实基础、落实</w:t>
      </w:r>
      <w:r>
        <w:rPr>
          <w:rFonts w:hint="eastAsia" w:ascii="仿宋_GB2312" w:hAnsi="Times New Roman" w:eastAsia="仿宋_GB2312" w:cs="Times New Roman"/>
          <w:sz w:val="32"/>
          <w:szCs w:val="32"/>
          <w:lang w:eastAsia="zh-CN"/>
        </w:rPr>
        <w:t>责任</w:t>
      </w:r>
      <w:r>
        <w:rPr>
          <w:rFonts w:hint="eastAsia" w:ascii="仿宋_GB2312" w:hAnsi="Times New Roman" w:eastAsia="仿宋_GB2312" w:cs="Times New Roman"/>
          <w:sz w:val="32"/>
          <w:szCs w:val="32"/>
        </w:rPr>
        <w:t>。市委、市政府高度重视食品药品安全工作，在全省率先出台《绵阳市食品安全“党政同责”暂行办法》</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将</w:t>
      </w:r>
      <w:r>
        <w:rPr>
          <w:rFonts w:hint="eastAsia" w:ascii="仿宋_GB2312" w:hAnsi="Times New Roman" w:eastAsia="仿宋_GB2312" w:cs="Times New Roman"/>
          <w:sz w:val="32"/>
          <w:szCs w:val="32"/>
          <w:lang w:eastAsia="zh-CN"/>
        </w:rPr>
        <w:t>食品药品安全</w:t>
      </w:r>
      <w:r>
        <w:rPr>
          <w:rFonts w:hint="eastAsia" w:ascii="仿宋_GB2312" w:hAnsi="Times New Roman" w:eastAsia="仿宋_GB2312" w:cs="Times New Roman"/>
          <w:sz w:val="32"/>
          <w:szCs w:val="32"/>
        </w:rPr>
        <w:t>纳入各县（市、区）政府目标考核且权重达3%。在全面完成县级食品药品监管机构改革后，出台了《基层监管所规范化建设验收操作细则》，加快推进基层监管网底建设，确保基层食品药品监管做到“四有</w:t>
      </w:r>
      <w:r>
        <w:rPr>
          <w:rFonts w:hint="eastAsia" w:ascii="仿宋_GB2312" w:hAnsi="Times New Roman" w:eastAsia="仿宋_GB2312" w:cs="Times New Roman"/>
          <w:sz w:val="32"/>
          <w:szCs w:val="32"/>
          <w:lang w:eastAsia="zh-CN"/>
        </w:rPr>
        <w:t>两责</w:t>
      </w:r>
      <w:r>
        <w:rPr>
          <w:rFonts w:hint="eastAsia" w:ascii="仿宋_GB2312" w:hAnsi="Times New Roman" w:eastAsia="仿宋_GB2312" w:cs="Times New Roman"/>
          <w:sz w:val="32"/>
          <w:szCs w:val="32"/>
        </w:rPr>
        <w:t>”。</w:t>
      </w:r>
      <w:r>
        <w:rPr>
          <w:rFonts w:hint="eastAsia" w:ascii="仿宋_GB2312" w:eastAsia="仿宋_GB2312" w:cs="Times New Roman"/>
          <w:sz w:val="32"/>
          <w:szCs w:val="32"/>
          <w:lang w:val="en-US" w:eastAsia="zh-CN"/>
        </w:rPr>
        <w:t>2018年</w:t>
      </w:r>
      <w:r>
        <w:rPr>
          <w:rFonts w:hint="eastAsia" w:ascii="仿宋_GB2312" w:hAnsi="Times New Roman" w:eastAsia="仿宋_GB2312" w:cs="Times New Roman"/>
          <w:sz w:val="32"/>
          <w:szCs w:val="32"/>
        </w:rPr>
        <w:t>，全市有食品药品监管编制1211个，实有监管人员1108人</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全市9个县市区均已配备食品快检车，88个基层监管所标准化建设验收合格率达100%，其中具有车辆编制的83个所执法车配备率100%</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并</w:t>
      </w:r>
      <w:r>
        <w:rPr>
          <w:rFonts w:hint="eastAsia" w:ascii="仿宋_GB2312" w:hAnsi="Times New Roman" w:eastAsia="仿宋_GB2312" w:cs="Times New Roman"/>
          <w:sz w:val="32"/>
          <w:szCs w:val="32"/>
          <w:lang w:eastAsia="zh-CN"/>
        </w:rPr>
        <w:t>先后</w:t>
      </w:r>
      <w:r>
        <w:rPr>
          <w:rFonts w:hint="eastAsia" w:ascii="仿宋_GB2312" w:hAnsi="Times New Roman" w:eastAsia="仿宋_GB2312" w:cs="Times New Roman"/>
          <w:sz w:val="32"/>
          <w:szCs w:val="32"/>
        </w:rPr>
        <w:t>争取到国家、省支持</w:t>
      </w:r>
      <w:r>
        <w:rPr>
          <w:rFonts w:hint="eastAsia" w:ascii="仿宋_GB2312" w:hAnsi="Times New Roman" w:eastAsia="仿宋_GB2312" w:cs="Times New Roman"/>
          <w:sz w:val="32"/>
          <w:szCs w:val="32"/>
          <w:lang w:val="en-US" w:eastAsia="zh-CN"/>
        </w:rPr>
        <w:t>8千</w:t>
      </w:r>
      <w:r>
        <w:rPr>
          <w:rFonts w:hint="eastAsia" w:ascii="仿宋_GB2312" w:hAnsi="Times New Roman" w:eastAsia="仿宋_GB2312" w:cs="Times New Roman"/>
          <w:sz w:val="32"/>
          <w:szCs w:val="32"/>
        </w:rPr>
        <w:t>余</w:t>
      </w:r>
      <w:r>
        <w:rPr>
          <w:rFonts w:hint="eastAsia" w:ascii="仿宋_GB2312" w:hAnsi="Times New Roman" w:eastAsia="仿宋_GB2312" w:cs="Times New Roman"/>
          <w:sz w:val="32"/>
          <w:szCs w:val="32"/>
          <w:lang w:eastAsia="zh-CN"/>
        </w:rPr>
        <w:t>万</w:t>
      </w:r>
      <w:r>
        <w:rPr>
          <w:rFonts w:hint="eastAsia" w:ascii="仿宋_GB2312" w:hAnsi="Times New Roman" w:eastAsia="仿宋_GB2312" w:cs="Times New Roman"/>
          <w:sz w:val="32"/>
          <w:szCs w:val="32"/>
        </w:rPr>
        <w:t>元检验检测能力建设资金用于市食品药品检验所食品检验检测项目和平武区域性食品检验检测中心建设</w:t>
      </w:r>
      <w:r>
        <w:rPr>
          <w:rFonts w:hint="eastAsia" w:ascii="仿宋_GB2312" w:hAnsi="Times New Roman" w:eastAsia="仿宋_GB2312" w:cs="Times New Roman"/>
          <w:sz w:val="32"/>
          <w:szCs w:val="32"/>
          <w:lang w:eastAsia="zh-CN"/>
        </w:rPr>
        <w:t>，全部通过验收。</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2</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突出重点、严</w:t>
      </w:r>
      <w:r>
        <w:rPr>
          <w:rFonts w:hint="eastAsia" w:ascii="仿宋_GB2312" w:hAnsi="Times New Roman" w:eastAsia="仿宋_GB2312" w:cs="Times New Roman"/>
          <w:sz w:val="32"/>
          <w:szCs w:val="32"/>
          <w:lang w:eastAsia="zh-CN"/>
        </w:rPr>
        <w:t>控风险</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按照</w:t>
      </w:r>
      <w:r>
        <w:rPr>
          <w:rFonts w:hint="eastAsia" w:ascii="仿宋_GB2312" w:hAnsi="Times New Roman" w:eastAsia="仿宋_GB2312" w:cs="Times New Roman"/>
          <w:sz w:val="32"/>
          <w:szCs w:val="32"/>
        </w:rPr>
        <w:t>市委办、市政府办印发</w:t>
      </w:r>
      <w:r>
        <w:rPr>
          <w:rFonts w:hint="eastAsia" w:ascii="仿宋_GB2312" w:hAnsi="Times New Roman" w:eastAsia="仿宋_GB2312" w:cs="Times New Roman"/>
          <w:sz w:val="32"/>
          <w:szCs w:val="32"/>
          <w:lang w:eastAsia="zh-CN"/>
        </w:rPr>
        <w:t>的</w:t>
      </w:r>
      <w:r>
        <w:rPr>
          <w:rFonts w:hint="eastAsia" w:ascii="仿宋_GB2312" w:hAnsi="Times New Roman" w:eastAsia="仿宋_GB2312" w:cs="Times New Roman"/>
          <w:sz w:val="32"/>
          <w:szCs w:val="32"/>
        </w:rPr>
        <w:t>《绵阳市防范化解食品药品安全风险工作方案》，各级党委、政府牵头组织认真开展食品药品风险隐患排查整治。针对食品药品产业实际进行重点调研，梳理出17个食品药品关键风险点，明确40条具体防控措施，形成了《绵阳市防范化解食品药品安全风险清单》</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全面排查潜在的风险隐患，建立全市风险点台账并逐项对标整治销号。</w:t>
      </w:r>
      <w:r>
        <w:rPr>
          <w:rFonts w:hint="eastAsia" w:ascii="仿宋_GB2312" w:hAnsi="Times New Roman" w:eastAsia="仿宋_GB2312" w:cs="Times New Roman"/>
          <w:sz w:val="32"/>
          <w:szCs w:val="32"/>
        </w:rPr>
        <w:t>坚持问题导向，突出靶向</w:t>
      </w:r>
      <w:r>
        <w:rPr>
          <w:rFonts w:hint="eastAsia" w:ascii="仿宋_GB2312" w:hAnsi="Times New Roman" w:eastAsia="仿宋_GB2312" w:cs="Times New Roman"/>
          <w:sz w:val="32"/>
          <w:szCs w:val="32"/>
          <w:lang w:eastAsia="zh-CN"/>
        </w:rPr>
        <w:t>抽检，</w:t>
      </w:r>
      <w:r>
        <w:rPr>
          <w:rFonts w:hint="eastAsia" w:ascii="仿宋_GB2312" w:eastAsia="仿宋_GB2312" w:cs="Times New Roman"/>
          <w:sz w:val="32"/>
          <w:szCs w:val="32"/>
          <w:lang w:val="en-US" w:eastAsia="zh-CN"/>
        </w:rPr>
        <w:t>2018年</w:t>
      </w:r>
      <w:r>
        <w:rPr>
          <w:rFonts w:hint="eastAsia" w:ascii="仿宋_GB2312" w:hAnsi="Times New Roman" w:eastAsia="仿宋_GB2312" w:cs="Times New Roman"/>
          <w:sz w:val="32"/>
          <w:szCs w:val="32"/>
        </w:rPr>
        <w:t>省抽食品</w:t>
      </w:r>
      <w:r>
        <w:rPr>
          <w:rFonts w:hint="eastAsia" w:ascii="仿宋_GB2312" w:hAnsi="Times New Roman" w:eastAsia="仿宋_GB2312" w:cs="Times New Roman"/>
          <w:sz w:val="32"/>
          <w:szCs w:val="32"/>
          <w:lang w:eastAsia="zh-CN"/>
        </w:rPr>
        <w:t>任务</w:t>
      </w:r>
      <w:r>
        <w:rPr>
          <w:rFonts w:hint="eastAsia" w:ascii="仿宋_GB2312" w:hAnsi="Times New Roman" w:eastAsia="仿宋_GB2312" w:cs="Times New Roman"/>
          <w:sz w:val="32"/>
          <w:szCs w:val="32"/>
          <w:lang w:val="en-US" w:eastAsia="zh-CN"/>
        </w:rPr>
        <w:t>908批次、</w:t>
      </w:r>
      <w:r>
        <w:rPr>
          <w:rFonts w:hint="eastAsia" w:ascii="仿宋_GB2312" w:hAnsi="Times New Roman" w:eastAsia="仿宋_GB2312" w:cs="Times New Roman"/>
          <w:sz w:val="32"/>
          <w:szCs w:val="32"/>
          <w:lang w:eastAsia="zh-CN"/>
        </w:rPr>
        <w:t>省抽</w:t>
      </w:r>
      <w:r>
        <w:rPr>
          <w:rFonts w:hint="eastAsia" w:ascii="仿宋_GB2312" w:hAnsi="Times New Roman" w:eastAsia="仿宋_GB2312" w:cs="Times New Roman"/>
          <w:sz w:val="32"/>
          <w:szCs w:val="32"/>
        </w:rPr>
        <w:t>药品任务</w:t>
      </w:r>
      <w:r>
        <w:rPr>
          <w:rFonts w:hint="eastAsia" w:ascii="仿宋_GB2312" w:hAnsi="Times New Roman" w:eastAsia="仿宋_GB2312" w:cs="Times New Roman"/>
          <w:sz w:val="32"/>
          <w:szCs w:val="32"/>
          <w:lang w:val="en-US" w:eastAsia="zh-CN"/>
        </w:rPr>
        <w:t>842</w:t>
      </w:r>
      <w:r>
        <w:rPr>
          <w:rFonts w:hint="eastAsia" w:ascii="仿宋_GB2312" w:hAnsi="Times New Roman" w:eastAsia="仿宋_GB2312" w:cs="Times New Roman"/>
          <w:sz w:val="32"/>
          <w:szCs w:val="32"/>
        </w:rPr>
        <w:t>批次</w:t>
      </w:r>
      <w:r>
        <w:rPr>
          <w:rFonts w:hint="eastAsia" w:ascii="仿宋_GB2312" w:hAnsi="Times New Roman" w:eastAsia="仿宋_GB2312" w:cs="Times New Roman"/>
          <w:sz w:val="32"/>
          <w:szCs w:val="32"/>
          <w:lang w:eastAsia="zh-CN"/>
        </w:rPr>
        <w:t>、省抽医疗器械</w:t>
      </w:r>
      <w:r>
        <w:rPr>
          <w:rFonts w:hint="eastAsia" w:ascii="仿宋_GB2312" w:hAnsi="Times New Roman" w:eastAsia="仿宋_GB2312" w:cs="Times New Roman"/>
          <w:sz w:val="32"/>
          <w:szCs w:val="32"/>
        </w:rPr>
        <w:t>任务</w:t>
      </w:r>
      <w:r>
        <w:rPr>
          <w:rFonts w:hint="eastAsia" w:ascii="仿宋_GB2312" w:hAnsi="Times New Roman" w:eastAsia="仿宋_GB2312" w:cs="Times New Roman"/>
          <w:sz w:val="32"/>
          <w:szCs w:val="32"/>
          <w:lang w:val="en-US" w:eastAsia="zh-CN"/>
        </w:rPr>
        <w:t>47</w:t>
      </w:r>
      <w:r>
        <w:rPr>
          <w:rFonts w:hint="eastAsia" w:ascii="仿宋_GB2312" w:hAnsi="Times New Roman" w:eastAsia="仿宋_GB2312" w:cs="Times New Roman"/>
          <w:sz w:val="32"/>
          <w:szCs w:val="32"/>
        </w:rPr>
        <w:t>批次</w:t>
      </w:r>
      <w:r>
        <w:rPr>
          <w:rFonts w:hint="eastAsia" w:ascii="仿宋_GB2312" w:hAnsi="Times New Roman" w:eastAsia="仿宋_GB2312" w:cs="Times New Roman"/>
          <w:sz w:val="32"/>
          <w:szCs w:val="32"/>
          <w:lang w:eastAsia="zh-CN"/>
        </w:rPr>
        <w:t>、省抽</w:t>
      </w:r>
      <w:r>
        <w:rPr>
          <w:rFonts w:hint="eastAsia" w:ascii="仿宋_GB2312" w:hAnsi="Times New Roman" w:eastAsia="仿宋_GB2312" w:cs="Times New Roman"/>
          <w:sz w:val="32"/>
          <w:szCs w:val="32"/>
        </w:rPr>
        <w:t>化妆品</w:t>
      </w:r>
      <w:r>
        <w:rPr>
          <w:rFonts w:hint="eastAsia" w:ascii="仿宋_GB2312" w:hAnsi="Times New Roman" w:eastAsia="仿宋_GB2312" w:cs="Times New Roman"/>
          <w:sz w:val="32"/>
          <w:szCs w:val="32"/>
          <w:lang w:eastAsia="zh-CN"/>
        </w:rPr>
        <w:t>任务</w:t>
      </w:r>
      <w:r>
        <w:rPr>
          <w:rFonts w:hint="eastAsia" w:ascii="仿宋_GB2312" w:hAnsi="Times New Roman" w:eastAsia="仿宋_GB2312" w:cs="Times New Roman"/>
          <w:sz w:val="32"/>
          <w:szCs w:val="32"/>
        </w:rPr>
        <w:t>25批次</w:t>
      </w:r>
      <w:r>
        <w:rPr>
          <w:rFonts w:hint="eastAsia" w:ascii="仿宋_GB2312" w:hAnsi="Times New Roman" w:eastAsia="仿宋_GB2312" w:cs="Times New Roman"/>
          <w:sz w:val="32"/>
          <w:szCs w:val="32"/>
          <w:lang w:eastAsia="zh-CN"/>
        </w:rPr>
        <w:t>任务完成率均达</w:t>
      </w:r>
      <w:r>
        <w:rPr>
          <w:rFonts w:hint="eastAsia" w:ascii="仿宋_GB2312" w:hAnsi="Times New Roman" w:eastAsia="仿宋_GB2312" w:cs="Times New Roman"/>
          <w:sz w:val="32"/>
          <w:szCs w:val="32"/>
          <w:lang w:val="en-US" w:eastAsia="zh-CN"/>
        </w:rPr>
        <w:t>100%，</w:t>
      </w:r>
      <w:r>
        <w:rPr>
          <w:rFonts w:hint="eastAsia" w:ascii="仿宋_GB2312" w:hAnsi="Times New Roman" w:eastAsia="仿宋_GB2312" w:cs="Times New Roman"/>
          <w:sz w:val="32"/>
          <w:szCs w:val="32"/>
          <w:lang w:eastAsia="zh-CN"/>
        </w:rPr>
        <w:t>全市</w:t>
      </w:r>
      <w:r>
        <w:rPr>
          <w:rFonts w:hint="eastAsia" w:ascii="仿宋_GB2312" w:hAnsi="Times New Roman" w:eastAsia="仿宋_GB2312" w:cs="Times New Roman"/>
          <w:sz w:val="32"/>
          <w:szCs w:val="32"/>
        </w:rPr>
        <w:t>共抽检食品药品</w:t>
      </w:r>
      <w:r>
        <w:rPr>
          <w:rFonts w:hint="eastAsia" w:ascii="仿宋_GB2312" w:hAnsi="Times New Roman" w:eastAsia="仿宋_GB2312" w:cs="Times New Roman"/>
          <w:sz w:val="32"/>
          <w:szCs w:val="32"/>
          <w:lang w:val="en-US" w:eastAsia="zh-CN"/>
        </w:rPr>
        <w:t>12398</w:t>
      </w:r>
      <w:r>
        <w:rPr>
          <w:rFonts w:hint="eastAsia" w:ascii="仿宋_GB2312" w:hAnsi="Times New Roman" w:eastAsia="仿宋_GB2312" w:cs="Times New Roman"/>
          <w:sz w:val="32"/>
          <w:szCs w:val="32"/>
        </w:rPr>
        <w:t>批次</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不断健全应急预案体系，建立和完善了综合协调、应急处置、舆情监测、应急值守及突发事件信息报告制度。</w:t>
      </w:r>
      <w:r>
        <w:rPr>
          <w:rFonts w:hint="eastAsia" w:ascii="仿宋_GB2312" w:hAnsi="Times New Roman" w:eastAsia="仿宋_GB2312" w:cs="Times New Roman"/>
          <w:sz w:val="32"/>
          <w:szCs w:val="32"/>
          <w:lang w:val="zh-CN"/>
        </w:rPr>
        <w:t>建立了舆情处置台帐，实行挂号销号制度，对蓝色以上舆情进行重点督查、督办。</w:t>
      </w:r>
      <w:r>
        <w:rPr>
          <w:rFonts w:hint="eastAsia" w:ascii="仿宋_GB2312" w:hAnsi="Times New Roman" w:eastAsia="仿宋_GB2312" w:cs="Times New Roman"/>
          <w:sz w:val="32"/>
          <w:szCs w:val="32"/>
          <w:lang w:eastAsia="zh-CN"/>
        </w:rPr>
        <w:t>牵头建立了绵阳市应急医药物资储备库，</w:t>
      </w:r>
      <w:r>
        <w:rPr>
          <w:rFonts w:hint="eastAsia" w:ascii="仿宋_GB2312" w:hAnsi="Times New Roman" w:eastAsia="仿宋_GB2312" w:cs="Times New Roman"/>
          <w:sz w:val="32"/>
          <w:szCs w:val="32"/>
          <w:lang w:val="en-US" w:eastAsia="zh-CN"/>
        </w:rPr>
        <w:t>两家承储企业共储存应急药品190个、医疗器械352个品种，总价值2700万元。</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3</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eastAsia="zh-CN"/>
        </w:rPr>
        <w:t>网格监管</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专项治理。</w:t>
      </w:r>
      <w:r>
        <w:rPr>
          <w:rFonts w:hint="eastAsia" w:ascii="仿宋_GB2312" w:hAnsi="Times New Roman" w:eastAsia="仿宋_GB2312" w:cs="Times New Roman"/>
          <w:sz w:val="32"/>
          <w:szCs w:val="32"/>
        </w:rPr>
        <w:t>全市设立的88个基层监管所，覆盖辐射292个乡镇（街道），落实“一专三员”（安全监管专责，联络员、协管员、信息员）并严格履职，市、县、乡、村四级监管网格体系基本建成，有效解决服务群众“最后一公里”的问题。</w:t>
      </w:r>
      <w:r>
        <w:rPr>
          <w:rFonts w:hint="eastAsia" w:ascii="仿宋_GB2312" w:hAnsi="Times New Roman" w:eastAsia="仿宋_GB2312" w:cs="Times New Roman"/>
          <w:sz w:val="32"/>
          <w:szCs w:val="32"/>
          <w:lang w:val="zh-CN"/>
        </w:rPr>
        <w:t>深入开展群众密切关注的婴幼儿配方乳粉、茶叶、白酒、畜禽水产品等重点品种的整治，</w:t>
      </w:r>
      <w:r>
        <w:rPr>
          <w:rFonts w:hint="eastAsia" w:ascii="仿宋_GB2312" w:hAnsi="Times New Roman" w:eastAsia="仿宋_GB2312" w:cs="Times New Roman"/>
          <w:sz w:val="32"/>
          <w:szCs w:val="32"/>
        </w:rPr>
        <w:t>分类细化开展</w:t>
      </w:r>
      <w:r>
        <w:rPr>
          <w:rFonts w:hint="eastAsia" w:ascii="仿宋_GB2312" w:hAnsi="Times New Roman" w:eastAsia="仿宋_GB2312" w:cs="Times New Roman"/>
          <w:sz w:val="32"/>
          <w:szCs w:val="32"/>
          <w:lang w:eastAsia="zh-CN"/>
        </w:rPr>
        <w:t>校园及周边五毛食品</w:t>
      </w:r>
      <w:r>
        <w:rPr>
          <w:rFonts w:hint="eastAsia" w:ascii="仿宋_GB2312" w:hAnsi="Times New Roman" w:eastAsia="仿宋_GB2312" w:cs="Times New Roman"/>
          <w:sz w:val="32"/>
          <w:szCs w:val="32"/>
        </w:rPr>
        <w:t>、保健食品、</w:t>
      </w:r>
      <w:r>
        <w:rPr>
          <w:rFonts w:hint="eastAsia" w:ascii="仿宋_GB2312" w:hAnsi="Times New Roman" w:eastAsia="仿宋_GB2312" w:cs="Times New Roman"/>
          <w:sz w:val="32"/>
          <w:szCs w:val="32"/>
          <w:lang w:val="en-US" w:eastAsia="zh-CN"/>
        </w:rPr>
        <w:t>网络订餐、地沟油、</w:t>
      </w:r>
      <w:r>
        <w:rPr>
          <w:rFonts w:hint="eastAsia" w:ascii="仿宋_GB2312" w:hAnsi="Times New Roman" w:eastAsia="仿宋_GB2312" w:cs="Times New Roman"/>
          <w:sz w:val="32"/>
          <w:szCs w:val="32"/>
        </w:rPr>
        <w:t>中药饮片质量</w:t>
      </w:r>
      <w:r>
        <w:rPr>
          <w:rFonts w:hint="eastAsia" w:ascii="仿宋_GB2312" w:hAnsi="Times New Roman" w:eastAsia="仿宋_GB2312" w:cs="Times New Roman"/>
          <w:sz w:val="32"/>
          <w:szCs w:val="32"/>
          <w:lang w:eastAsia="zh-CN"/>
        </w:rPr>
        <w:t>、非洲猪瘟</w:t>
      </w:r>
      <w:r>
        <w:rPr>
          <w:rFonts w:hint="eastAsia" w:ascii="仿宋_GB2312" w:hAnsi="Times New Roman" w:eastAsia="仿宋_GB2312" w:cs="Times New Roman"/>
          <w:sz w:val="32"/>
          <w:szCs w:val="32"/>
        </w:rPr>
        <w:t>等1</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项专项整治</w:t>
      </w:r>
      <w:r>
        <w:rPr>
          <w:rFonts w:hint="eastAsia" w:ascii="仿宋_GB2312" w:hAnsi="Times New Roman" w:eastAsia="仿宋_GB2312" w:cs="Times New Roman"/>
          <w:sz w:val="32"/>
          <w:szCs w:val="32"/>
          <w:lang w:eastAsia="zh-CN"/>
        </w:rPr>
        <w:t>行动。采取“双随机</w:t>
      </w:r>
      <w:r>
        <w:rPr>
          <w:rFonts w:hint="eastAsia" w:ascii="仿宋_GB2312" w:eastAsia="仿宋_GB2312" w:cs="Times New Roman"/>
          <w:sz w:val="32"/>
          <w:szCs w:val="32"/>
          <w:lang w:val="en-US" w:eastAsia="zh-CN"/>
        </w:rPr>
        <w:t>、</w:t>
      </w:r>
      <w:bookmarkStart w:id="75" w:name="_GoBack"/>
      <w:bookmarkEnd w:id="75"/>
      <w:r>
        <w:rPr>
          <w:rFonts w:hint="eastAsia" w:ascii="仿宋_GB2312" w:hAnsi="Times New Roman" w:eastAsia="仿宋_GB2312" w:cs="Times New Roman"/>
          <w:sz w:val="32"/>
          <w:szCs w:val="32"/>
          <w:lang w:val="en-US" w:eastAsia="zh-CN"/>
        </w:rPr>
        <w:t>双检查</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一回访</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一公开”的方式，对全市食品药品领域进行随机抽查，有效保障了执法的公正、专业、全面。</w:t>
      </w:r>
      <w:r>
        <w:rPr>
          <w:rFonts w:hint="eastAsia" w:ascii="仿宋_GB2312" w:hAnsi="Times New Roman" w:eastAsia="仿宋_GB2312" w:cs="Times New Roman"/>
          <w:sz w:val="32"/>
          <w:szCs w:val="32"/>
          <w:lang w:eastAsia="zh-CN"/>
        </w:rPr>
        <w:t>专项整治中</w:t>
      </w:r>
      <w:r>
        <w:rPr>
          <w:rFonts w:hint="eastAsia" w:ascii="仿宋_GB2312" w:hAnsi="Times New Roman" w:eastAsia="仿宋_GB2312" w:cs="Times New Roman"/>
          <w:sz w:val="32"/>
          <w:szCs w:val="32"/>
          <w:lang w:val="en-US" w:eastAsia="zh-CN"/>
        </w:rPr>
        <w:t>关停不合规屠宰场点237家，</w:t>
      </w:r>
      <w:r>
        <w:rPr>
          <w:rFonts w:hint="default" w:ascii="仿宋_GB2312" w:hAnsi="Times New Roman" w:eastAsia="仿宋_GB2312" w:cs="Times New Roman"/>
          <w:sz w:val="32"/>
          <w:szCs w:val="32"/>
          <w:lang w:val="en-US" w:eastAsia="zh-CN"/>
        </w:rPr>
        <w:t>收缴</w:t>
      </w:r>
      <w:r>
        <w:rPr>
          <w:rFonts w:hint="eastAsia" w:ascii="仿宋_GB2312" w:hAnsi="Times New Roman" w:eastAsia="仿宋_GB2312" w:cs="Times New Roman"/>
          <w:sz w:val="32"/>
          <w:szCs w:val="32"/>
          <w:lang w:val="en-US" w:eastAsia="zh-CN"/>
        </w:rPr>
        <w:t>保健食品</w:t>
      </w:r>
      <w:r>
        <w:rPr>
          <w:rFonts w:hint="default" w:ascii="仿宋_GB2312" w:hAnsi="Times New Roman" w:eastAsia="仿宋_GB2312" w:cs="Times New Roman"/>
          <w:sz w:val="32"/>
          <w:szCs w:val="32"/>
          <w:lang w:val="en-US" w:eastAsia="zh-CN"/>
        </w:rPr>
        <w:t>虚假宣传资料6500余份，</w:t>
      </w:r>
      <w:r>
        <w:rPr>
          <w:rFonts w:hint="eastAsia" w:ascii="仿宋_GB2312" w:hAnsi="Times New Roman" w:eastAsia="仿宋_GB2312" w:cs="Times New Roman"/>
          <w:sz w:val="32"/>
          <w:szCs w:val="32"/>
          <w:lang w:val="en-US" w:eastAsia="zh-CN"/>
        </w:rPr>
        <w:t>药品化妆品医疗器械</w:t>
      </w:r>
      <w:r>
        <w:rPr>
          <w:rFonts w:hint="eastAsia" w:ascii="仿宋_GB2312" w:hAnsi="Times New Roman" w:eastAsia="仿宋_GB2312" w:cs="Times New Roman"/>
          <w:sz w:val="32"/>
          <w:szCs w:val="32"/>
        </w:rPr>
        <w:t>监督注销（吊销）《药品经营许可证》</w:t>
      </w:r>
      <w:r>
        <w:rPr>
          <w:rFonts w:hint="eastAsia" w:ascii="仿宋_GB2312" w:hAnsi="Times New Roman" w:eastAsia="仿宋_GB2312" w:cs="Times New Roman"/>
          <w:sz w:val="32"/>
          <w:szCs w:val="32"/>
          <w:lang w:val="en-US" w:eastAsia="zh-CN"/>
        </w:rPr>
        <w:t>74</w:t>
      </w:r>
      <w:r>
        <w:rPr>
          <w:rFonts w:hint="eastAsia" w:ascii="仿宋_GB2312" w:hAnsi="Times New Roman" w:eastAsia="仿宋_GB2312" w:cs="Times New Roman"/>
          <w:sz w:val="32"/>
          <w:szCs w:val="32"/>
        </w:rPr>
        <w:t>家，撤销《GSP证书》</w:t>
      </w:r>
      <w:r>
        <w:rPr>
          <w:rFonts w:hint="eastAsia" w:ascii="仿宋_GB2312" w:hAnsi="Times New Roman" w:eastAsia="仿宋_GB2312" w:cs="Times New Roman"/>
          <w:sz w:val="32"/>
          <w:szCs w:val="32"/>
          <w:lang w:val="en-US" w:eastAsia="zh-CN"/>
        </w:rPr>
        <w:t>38</w:t>
      </w:r>
      <w:r>
        <w:rPr>
          <w:rFonts w:hint="eastAsia" w:ascii="仿宋_GB2312" w:hAnsi="Times New Roman" w:eastAsia="仿宋_GB2312" w:cs="Times New Roman"/>
          <w:sz w:val="32"/>
          <w:szCs w:val="32"/>
        </w:rPr>
        <w:t>家，</w:t>
      </w:r>
      <w:r>
        <w:rPr>
          <w:rFonts w:hint="eastAsia" w:ascii="仿宋_GB2312" w:hAnsi="Times New Roman" w:eastAsia="仿宋_GB2312" w:cs="Times New Roman"/>
          <w:sz w:val="32"/>
          <w:szCs w:val="32"/>
          <w:lang w:eastAsia="zh-CN"/>
        </w:rPr>
        <w:t>检查各类食品药品生产经营企业</w:t>
      </w:r>
      <w:r>
        <w:rPr>
          <w:rFonts w:hint="eastAsia" w:ascii="仿宋_GB2312" w:hAnsi="Times New Roman" w:eastAsia="仿宋_GB2312" w:cs="Times New Roman"/>
          <w:sz w:val="32"/>
          <w:szCs w:val="32"/>
          <w:lang w:val="en-US" w:eastAsia="zh-CN"/>
        </w:rPr>
        <w:t>4万余家，</w:t>
      </w:r>
      <w:r>
        <w:rPr>
          <w:rFonts w:hint="eastAsia" w:ascii="仿宋_GB2312" w:hAnsi="Times New Roman" w:eastAsia="仿宋_GB2312" w:cs="Times New Roman"/>
          <w:sz w:val="32"/>
          <w:szCs w:val="32"/>
        </w:rPr>
        <w:t>发现问题</w:t>
      </w:r>
      <w:r>
        <w:rPr>
          <w:rFonts w:hint="eastAsia" w:ascii="仿宋_GB2312" w:hAnsi="Times New Roman" w:eastAsia="仿宋_GB2312" w:cs="Times New Roman"/>
          <w:sz w:val="32"/>
          <w:szCs w:val="32"/>
          <w:lang w:val="en-US" w:eastAsia="zh-CN"/>
        </w:rPr>
        <w:t>7千余</w:t>
      </w:r>
      <w:r>
        <w:rPr>
          <w:rFonts w:hint="eastAsia" w:ascii="仿宋_GB2312" w:hAnsi="Times New Roman" w:eastAsia="仿宋_GB2312" w:cs="Times New Roman"/>
          <w:sz w:val="32"/>
          <w:szCs w:val="32"/>
        </w:rPr>
        <w:t>个，约谈企业</w:t>
      </w:r>
      <w:r>
        <w:rPr>
          <w:rFonts w:hint="eastAsia" w:ascii="仿宋_GB2312" w:hAnsi="Times New Roman" w:eastAsia="仿宋_GB2312" w:cs="Times New Roman"/>
          <w:sz w:val="32"/>
          <w:szCs w:val="32"/>
          <w:lang w:val="en-US" w:eastAsia="zh-CN"/>
        </w:rPr>
        <w:t>1000余</w:t>
      </w:r>
      <w:r>
        <w:rPr>
          <w:rFonts w:hint="eastAsia" w:ascii="仿宋_GB2312" w:hAnsi="Times New Roman" w:eastAsia="仿宋_GB2312" w:cs="Times New Roman"/>
          <w:sz w:val="32"/>
          <w:szCs w:val="32"/>
        </w:rPr>
        <w:t>家，停产停业整顿535家，并对违法违规行为进行查处。严厉打击食品药品违法犯罪行为</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与绵阳出入境检验检疫局联合印发了《深化协作共同保障食品安全合作备忘录》，严厉打击非法进口、走私食品等违法犯罪行为。加强行政执法与刑事司法的衔接，市检察院在市局设立检察室，督促及时依法移送、侦查、审理行政区域内食品药品安全涉刑案件。</w:t>
      </w:r>
      <w:r>
        <w:rPr>
          <w:rFonts w:hint="eastAsia" w:ascii="仿宋_GB2312" w:hAnsi="Times New Roman" w:eastAsia="仿宋_GB2312" w:cs="Times New Roman"/>
          <w:sz w:val="32"/>
          <w:szCs w:val="32"/>
          <w:lang w:eastAsia="zh-CN"/>
        </w:rPr>
        <w:t>全市</w:t>
      </w:r>
      <w:r>
        <w:rPr>
          <w:rFonts w:hint="eastAsia" w:ascii="仿宋_GB2312" w:hAnsi="Times New Roman" w:eastAsia="仿宋_GB2312" w:cs="Times New Roman"/>
          <w:sz w:val="32"/>
          <w:szCs w:val="32"/>
        </w:rPr>
        <w:t>共立案查处</w:t>
      </w:r>
      <w:r>
        <w:rPr>
          <w:rFonts w:hint="eastAsia" w:ascii="仿宋_GB2312" w:hAnsi="Times New Roman" w:eastAsia="仿宋_GB2312" w:cs="Times New Roman"/>
          <w:sz w:val="32"/>
          <w:szCs w:val="32"/>
          <w:lang w:eastAsia="zh-CN"/>
        </w:rPr>
        <w:t>食品药品</w:t>
      </w:r>
      <w:r>
        <w:rPr>
          <w:rFonts w:hint="eastAsia" w:ascii="仿宋_GB2312" w:hAnsi="Times New Roman" w:eastAsia="仿宋_GB2312" w:cs="Times New Roman"/>
          <w:sz w:val="32"/>
          <w:szCs w:val="32"/>
        </w:rPr>
        <w:t>案件</w:t>
      </w:r>
      <w:r>
        <w:rPr>
          <w:rFonts w:hint="eastAsia" w:ascii="仿宋_GB2312" w:hAnsi="Times New Roman" w:eastAsia="仿宋_GB2312" w:cs="Times New Roman"/>
          <w:sz w:val="32"/>
          <w:szCs w:val="32"/>
          <w:lang w:val="en-US" w:eastAsia="zh-CN"/>
        </w:rPr>
        <w:t>1020</w:t>
      </w:r>
      <w:r>
        <w:rPr>
          <w:rFonts w:hint="eastAsia" w:ascii="仿宋_GB2312" w:hAnsi="Times New Roman" w:eastAsia="仿宋_GB2312" w:cs="Times New Roman"/>
          <w:sz w:val="32"/>
          <w:szCs w:val="32"/>
        </w:rPr>
        <w:t>件、办结案件</w:t>
      </w:r>
      <w:r>
        <w:rPr>
          <w:rFonts w:hint="eastAsia" w:ascii="仿宋_GB2312" w:hAnsi="Times New Roman" w:eastAsia="仿宋_GB2312" w:cs="Times New Roman"/>
          <w:sz w:val="32"/>
          <w:szCs w:val="32"/>
          <w:lang w:val="en-US" w:eastAsia="zh-CN"/>
        </w:rPr>
        <w:t>1011</w:t>
      </w:r>
      <w:r>
        <w:rPr>
          <w:rFonts w:hint="eastAsia" w:ascii="仿宋_GB2312" w:hAnsi="Times New Roman" w:eastAsia="仿宋_GB2312" w:cs="Times New Roman"/>
          <w:sz w:val="32"/>
          <w:szCs w:val="32"/>
        </w:rPr>
        <w:t>件，共处罚没金额</w:t>
      </w:r>
      <w:r>
        <w:rPr>
          <w:rFonts w:hint="eastAsia" w:ascii="仿宋_GB2312" w:hAnsi="Times New Roman" w:eastAsia="仿宋_GB2312" w:cs="Times New Roman"/>
          <w:sz w:val="32"/>
          <w:szCs w:val="32"/>
          <w:lang w:val="en-US" w:eastAsia="zh-CN"/>
        </w:rPr>
        <w:t>815.7</w:t>
      </w:r>
      <w:r>
        <w:rPr>
          <w:rFonts w:hint="eastAsia" w:ascii="仿宋_GB2312" w:hAnsi="Times New Roman" w:eastAsia="仿宋_GB2312" w:cs="Times New Roman"/>
          <w:sz w:val="32"/>
          <w:szCs w:val="32"/>
        </w:rPr>
        <w:t>万余元，全市移送司法机关</w:t>
      </w:r>
      <w:r>
        <w:rPr>
          <w:rFonts w:hint="eastAsia" w:ascii="仿宋_GB2312" w:hAnsi="Times New Roman" w:eastAsia="仿宋_GB2312" w:cs="Times New Roman"/>
          <w:sz w:val="32"/>
          <w:szCs w:val="32"/>
          <w:lang w:val="en-US" w:eastAsia="zh-CN"/>
        </w:rPr>
        <w:t>12</w:t>
      </w:r>
      <w:r>
        <w:rPr>
          <w:rFonts w:hint="eastAsia" w:ascii="仿宋_GB2312" w:hAnsi="Times New Roman" w:eastAsia="仿宋_GB2312" w:cs="Times New Roman"/>
          <w:sz w:val="32"/>
          <w:szCs w:val="32"/>
        </w:rPr>
        <w:t>件。有效保障了饮食用药安全。</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4</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rPr>
        <w:t>创建引领、社会共治。对照“国家食品安全示范城市”和“省级食品药品安全示范城市”创建要求，逐项梳理缺失项目，稳妥进行整顿改进。在巩固提升三台、安州、北川省级食品安全示范县创建成果的基础上，积极推进江油市、平武县第二批和梓潼县第三批省级食品安全示范县创建。深入开展市级食品安全示范乡镇（街道）创建，加快完成涪城区龙门镇、工区街道等首批10个示范乡镇（街道）验收工作，启动第二批市级食品安全示范乡镇（街道）创建申报。强力推进明厨亮灶、学校食堂“灭C行动”，截止</w:t>
      </w:r>
      <w:r>
        <w:rPr>
          <w:rFonts w:hint="eastAsia" w:ascii="仿宋_GB2312" w:hAnsi="Times New Roman" w:eastAsia="仿宋_GB2312" w:cs="Times New Roman"/>
          <w:sz w:val="32"/>
          <w:szCs w:val="32"/>
          <w:lang w:eastAsia="zh-CN"/>
        </w:rPr>
        <w:t>目前</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学校食堂中C级单位减少了32%，</w:t>
      </w:r>
      <w:r>
        <w:rPr>
          <w:rFonts w:hint="eastAsia" w:ascii="仿宋_GB2312" w:hAnsi="Times New Roman" w:eastAsia="仿宋_GB2312" w:cs="Times New Roman"/>
          <w:sz w:val="32"/>
          <w:szCs w:val="32"/>
        </w:rPr>
        <w:t>全市“明厨亮灶”覆盖率达</w:t>
      </w:r>
      <w:r>
        <w:rPr>
          <w:rFonts w:hint="eastAsia" w:ascii="仿宋_GB2312" w:hAnsi="Times New Roman" w:eastAsia="仿宋_GB2312" w:cs="Times New Roman"/>
          <w:sz w:val="32"/>
          <w:szCs w:val="32"/>
          <w:lang w:eastAsia="zh-CN"/>
        </w:rPr>
        <w:t>到</w:t>
      </w:r>
      <w:r>
        <w:rPr>
          <w:rFonts w:hint="eastAsia" w:ascii="仿宋_GB2312" w:hAnsi="Times New Roman" w:eastAsia="仿宋_GB2312" w:cs="Times New Roman"/>
          <w:sz w:val="32"/>
          <w:szCs w:val="32"/>
          <w:lang w:val="en-US" w:eastAsia="zh-CN"/>
        </w:rPr>
        <w:t>82.59</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学校明厨亮灶覆盖率达到88.59%。</w:t>
      </w:r>
      <w:r>
        <w:rPr>
          <w:rFonts w:hint="eastAsia" w:ascii="仿宋_GB2312" w:hAnsi="Times New Roman" w:eastAsia="仿宋_GB2312" w:cs="Times New Roman"/>
          <w:sz w:val="32"/>
          <w:szCs w:val="32"/>
        </w:rPr>
        <w:t>大力推广学校食堂保险工作，全市共有545家学校参加食品安全责任保险，投保金额约160万元，保险金额约45亿元。以科技城建设为契机，指导企业自主研发零售药店24小时自动售药机、远程执业医师咨询和食品药品公众查询系统三位一体的智能化售药机，涪城区研发“微码食品三小监管系统”</w:t>
      </w:r>
      <w:r>
        <w:rPr>
          <w:rFonts w:hint="eastAsia" w:ascii="仿宋_GB2312" w:hAnsi="Times New Roman" w:eastAsia="仿宋_GB2312" w:cs="Times New Roman"/>
          <w:sz w:val="32"/>
          <w:szCs w:val="32"/>
          <w:lang w:eastAsia="zh-CN"/>
        </w:rPr>
        <w:t>及江油市</w:t>
      </w:r>
      <w:r>
        <w:rPr>
          <w:rFonts w:hint="eastAsia" w:ascii="仿宋_GB2312" w:hAnsi="Times New Roman" w:eastAsia="仿宋_GB2312" w:cs="Times New Roman"/>
          <w:sz w:val="32"/>
          <w:szCs w:val="32"/>
        </w:rPr>
        <w:t>出台</w:t>
      </w:r>
      <w:r>
        <w:rPr>
          <w:rFonts w:hint="eastAsia" w:ascii="仿宋_GB2312" w:hAnsi="Times New Roman" w:eastAsia="仿宋_GB2312" w:cs="Times New Roman"/>
          <w:sz w:val="32"/>
          <w:szCs w:val="32"/>
          <w:lang w:eastAsia="zh-CN"/>
        </w:rPr>
        <w:t>的</w:t>
      </w:r>
      <w:r>
        <w:rPr>
          <w:rFonts w:hint="eastAsia" w:ascii="仿宋_GB2312" w:hAnsi="Times New Roman" w:eastAsia="仿宋_GB2312" w:cs="Times New Roman"/>
          <w:sz w:val="32"/>
          <w:szCs w:val="32"/>
        </w:rPr>
        <w:t>《江油市食品小作坊禁止生产加工食品目录》</w:t>
      </w:r>
      <w:r>
        <w:rPr>
          <w:rFonts w:hint="eastAsia" w:ascii="仿宋_GB2312" w:hAnsi="Times New Roman" w:eastAsia="仿宋_GB2312" w:cs="Times New Roman"/>
          <w:sz w:val="32"/>
          <w:szCs w:val="32"/>
          <w:lang w:eastAsia="zh-CN"/>
        </w:rPr>
        <w:t>推进了三小备案监管的信息化</w:t>
      </w:r>
      <w:r>
        <w:rPr>
          <w:rFonts w:hint="eastAsia" w:ascii="仿宋_GB2312" w:hAnsi="Times New Roman" w:eastAsia="仿宋_GB2312" w:cs="Times New Roman"/>
          <w:sz w:val="32"/>
          <w:szCs w:val="32"/>
        </w:rPr>
        <w:t>，全市药品零售环节推行</w:t>
      </w:r>
      <w:r>
        <w:rPr>
          <w:rFonts w:hint="eastAsia" w:ascii="仿宋_GB2312" w:hAnsi="Times New Roman" w:eastAsia="仿宋_GB2312" w:cs="Times New Roman"/>
          <w:sz w:val="32"/>
          <w:szCs w:val="32"/>
          <w:lang w:eastAsia="zh-CN"/>
        </w:rPr>
        <w:t>了</w:t>
      </w:r>
      <w:r>
        <w:rPr>
          <w:rFonts w:hint="eastAsia" w:ascii="仿宋_GB2312" w:hAnsi="Times New Roman" w:eastAsia="仿宋_GB2312" w:cs="Times New Roman"/>
          <w:sz w:val="32"/>
          <w:szCs w:val="32"/>
        </w:rPr>
        <w:t>执业药师远程药学服务和电子处方试点。</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5</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rPr>
        <w:t>深化改革、助力发展。在巩固前期改革取得成效的基础上，进一步完善许可流程，减少不必要环节，推行“互联网+EMS”模式，实现了行政许可“最多跑一次”。借助网络、微信、QQ平台，全天候24小时对企业申办许可、换发证件提供咨询服务。会同绵阳海关（检验检疫局）推行HACCP体系认证及产品出口备案，共同完善标准规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全市已有15家食品生产企业取得出口备案资格，其中绵阳开元米粉、江油肥肠、智华皮蛋等“绵阳造”品牌已正式出口进入国际市场。支持九院一所正电子回旋加速器、二所放射性药品研发申报，加快推进中国核医学中心建设。加快推进四川龙源康药业有限公司中药饮片及植物提取物生产等项目建设进度，打造梓潼生物医药产业园。</w:t>
      </w:r>
      <w:r>
        <w:rPr>
          <w:rFonts w:hint="eastAsia" w:ascii="仿宋_GB2312" w:hAnsi="Times New Roman" w:eastAsia="仿宋_GB2312" w:cs="Times New Roman"/>
          <w:sz w:val="32"/>
          <w:szCs w:val="32"/>
          <w:lang w:eastAsia="zh-CN"/>
        </w:rPr>
        <w:t>支持</w:t>
      </w:r>
      <w:r>
        <w:rPr>
          <w:rFonts w:hint="eastAsia" w:ascii="仿宋_GB2312" w:hAnsi="Times New Roman" w:eastAsia="仿宋_GB2312" w:cs="Times New Roman"/>
          <w:sz w:val="32"/>
          <w:szCs w:val="32"/>
        </w:rPr>
        <w:t>招引</w:t>
      </w:r>
      <w:r>
        <w:rPr>
          <w:rFonts w:hint="eastAsia" w:ascii="仿宋_GB2312" w:hAnsi="Times New Roman" w:eastAsia="仿宋_GB2312" w:cs="Times New Roman"/>
          <w:sz w:val="32"/>
          <w:szCs w:val="32"/>
          <w:lang w:val="en-US" w:eastAsia="zh-CN"/>
        </w:rPr>
        <w:t>6.8亿元投资</w:t>
      </w:r>
      <w:r>
        <w:rPr>
          <w:rFonts w:hint="eastAsia" w:ascii="仿宋_GB2312" w:hAnsi="Times New Roman" w:eastAsia="仿宋_GB2312" w:cs="Times New Roman"/>
          <w:sz w:val="32"/>
          <w:szCs w:val="32"/>
        </w:rPr>
        <w:t>中国中药（绵阳）产业园天雄药业生产基地项目落地安州，成为中国医药集团总公司首个地市级生产基地。指导中坝附子科技发展有限公司建立全国最优的附子生产加工基地，鼓励三台麦冬、平武天麻、江油附子等道地药材建设大宗优质中药材生产基地，支持三台县申报麦冬大宗品种和食药同源项目建设。</w:t>
      </w:r>
    </w:p>
    <w:p>
      <w:pPr>
        <w:spacing w:line="600" w:lineRule="exact"/>
        <w:ind w:firstLine="640" w:firstLineChars="200"/>
        <w:rPr>
          <w:rFonts w:hint="eastAsia" w:ascii="仿宋" w:hAnsi="仿宋" w:eastAsia="仿宋"/>
          <w:bCs/>
          <w:color w:val="000000"/>
          <w:sz w:val="32"/>
          <w:szCs w:val="32"/>
        </w:rPr>
      </w:pP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6</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rPr>
        <w:t>加强党建、正风肃纪。深入学习贯彻习近平新时代中国特色社会主义思想和党的十九大精神，以及习近平来川视察重要讲话精神、省委书记彭清华在全省市厅级主要领导干部读书班的讲话精神</w:t>
      </w:r>
      <w:r>
        <w:rPr>
          <w:rFonts w:hint="eastAsia" w:ascii="仿宋_GB2312" w:hAnsi="宋体" w:eastAsia="仿宋_GB2312"/>
          <w:sz w:val="32"/>
          <w:szCs w:val="32"/>
        </w:rPr>
        <w:t>为主要内容，</w:t>
      </w:r>
      <w:r>
        <w:rPr>
          <w:rFonts w:hint="eastAsia" w:ascii="仿宋_GB2312" w:hAnsi="宋体" w:eastAsia="仿宋_GB2312"/>
          <w:sz w:val="32"/>
          <w:szCs w:val="32"/>
          <w:lang w:eastAsia="zh-CN"/>
        </w:rPr>
        <w:t>组织全系统广泛开展学习活动，</w:t>
      </w:r>
      <w:r>
        <w:rPr>
          <w:rFonts w:hint="eastAsia" w:ascii="仿宋_GB2312" w:hAnsi="宋体" w:eastAsia="仿宋_GB2312"/>
          <w:sz w:val="32"/>
          <w:szCs w:val="32"/>
        </w:rPr>
        <w:t>进一步解放思想</w:t>
      </w:r>
      <w:r>
        <w:rPr>
          <w:rFonts w:hint="eastAsia" w:ascii="仿宋_GB2312" w:hAnsi="宋体" w:eastAsia="仿宋_GB2312"/>
          <w:sz w:val="32"/>
          <w:szCs w:val="32"/>
          <w:lang w:eastAsia="zh-CN"/>
        </w:rPr>
        <w:t>。</w:t>
      </w:r>
      <w:r>
        <w:rPr>
          <w:rFonts w:hint="eastAsia" w:ascii="仿宋_GB2312" w:hAnsi="宋体" w:eastAsia="仿宋_GB2312"/>
          <w:sz w:val="32"/>
          <w:szCs w:val="32"/>
        </w:rPr>
        <w:t>持续推进“两学一做”学习教育常态化制度化，教育引导领导干部讲政治、守纪律、守规矩，牢固树立“四个意识”。</w:t>
      </w:r>
      <w:r>
        <w:rPr>
          <w:rFonts w:hint="eastAsia" w:ascii="仿宋_GB2312" w:eastAsia="仿宋_GB2312"/>
          <w:sz w:val="32"/>
          <w:szCs w:val="32"/>
        </w:rPr>
        <w:t>制定党建工作和党风廉政建设工作责任清单，层层签订党建工作和党风廉政建设责任书。扎实推进</w:t>
      </w:r>
      <w:r>
        <w:rPr>
          <w:rFonts w:hint="eastAsia" w:ascii="仿宋_GB2312" w:eastAsia="仿宋_GB2312"/>
          <w:sz w:val="32"/>
          <w:szCs w:val="32"/>
          <w:lang w:eastAsia="zh-CN"/>
        </w:rPr>
        <w:t>“大学习、大讨论、大调研”及省局政风行风建设“五大行动”活动</w:t>
      </w:r>
      <w:r>
        <w:rPr>
          <w:rFonts w:hint="eastAsia" w:ascii="仿宋_GB2312" w:eastAsia="仿宋_GB2312"/>
          <w:sz w:val="32"/>
          <w:szCs w:val="32"/>
        </w:rPr>
        <w:t>，</w:t>
      </w:r>
      <w:r>
        <w:rPr>
          <w:rFonts w:hint="eastAsia" w:ascii="仿宋_GB2312" w:eastAsia="仿宋_GB2312"/>
          <w:sz w:val="32"/>
          <w:szCs w:val="32"/>
          <w:lang w:eastAsia="zh-CN"/>
        </w:rPr>
        <w:t>涪城区食药工质局在全省食药系统政风行风建设总结会上作经验交流发言。</w:t>
      </w:r>
      <w:r>
        <w:rPr>
          <w:rFonts w:hint="eastAsia" w:ascii="仿宋_GB2312" w:eastAsia="仿宋_GB2312"/>
          <w:sz w:val="32"/>
          <w:szCs w:val="32"/>
          <w:lang w:val="en-US" w:eastAsia="zh-CN"/>
        </w:rPr>
        <w:t>全面提升专业监管能力，实施全员大培训，</w:t>
      </w:r>
      <w:r>
        <w:rPr>
          <w:rFonts w:hint="eastAsia" w:ascii="Times New Roman" w:hAnsi="Times New Roman" w:eastAsia="仿宋_GB2312" w:cs="Times New Roman"/>
          <w:color w:val="000000"/>
          <w:kern w:val="2"/>
          <w:sz w:val="32"/>
          <w:szCs w:val="32"/>
          <w:lang w:val="en-US" w:eastAsia="zh-CN" w:bidi="ar-SA"/>
        </w:rPr>
        <w:t>着力建设一支纪律严明、作风优良、敢查善管、敢于担当的执法队伍</w:t>
      </w:r>
      <w:r>
        <w:rPr>
          <w:rFonts w:hint="eastAsia" w:ascii="仿宋_GB2312" w:eastAsia="仿宋_GB2312"/>
          <w:sz w:val="32"/>
          <w:szCs w:val="32"/>
          <w:lang w:val="en-US" w:eastAsia="zh-CN"/>
        </w:rPr>
        <w:t>。</w:t>
      </w:r>
      <w:r>
        <w:rPr>
          <w:rFonts w:hint="eastAsia" w:ascii="仿宋_GB2312" w:hAnsi="仿宋" w:eastAsia="仿宋_GB2312" w:cs="宋体"/>
          <w:color w:val="000000"/>
          <w:kern w:val="0"/>
          <w:sz w:val="32"/>
          <w:szCs w:val="32"/>
        </w:rPr>
        <w:t>纵深推进全面从严治党，驰而不息正风肃纪，规范党内组织生活，</w:t>
      </w:r>
      <w:r>
        <w:rPr>
          <w:rFonts w:hint="eastAsia" w:ascii="仿宋_GB2312" w:hAnsi="仿宋" w:eastAsia="仿宋_GB2312" w:cs="仿宋"/>
          <w:bCs/>
          <w:color w:val="000000"/>
          <w:sz w:val="32"/>
          <w:szCs w:val="32"/>
        </w:rPr>
        <w:t>持续落实中央八项规定、省委省政府十项规定、市委市政府七项规定和市局六项规定，落实食品药品监管“四个最严”要求，实践运用监督执纪“四种形态”，强化廉政风险防控和权力运行约束监督，永葆清正廉洁政治本色。</w:t>
      </w:r>
    </w:p>
    <w:p>
      <w:pPr>
        <w:numPr>
          <w:ilvl w:val="0"/>
          <w:numId w:val="0"/>
        </w:num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7.违规记录</w:t>
      </w:r>
    </w:p>
    <w:p>
      <w:pPr>
        <w:numPr>
          <w:ilvl w:val="0"/>
          <w:numId w:val="0"/>
        </w:numPr>
        <w:spacing w:line="580" w:lineRule="exact"/>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无</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（三）结果应用情况。</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1.自评质量</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我局严格按照部门整体支出绩效评价工作的要求，组织开展2018年度部门整体支出绩效评价工作。依据部门整体支出绩效评价指标体系进行严格自评，评价得分为99.5分。</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2.信息公开</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我局按照市财政局统一公开时限，在局网站公开2018年市级部门预算及项目绩效目标。2018年部门整体支出绩效自评报告包含在当年决算公开内容中。</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3.评价结果整改和应用结果反馈</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依据2018年部门整体支出绩效评价报告中存出的问题，我局进行了认真整改和结果应用。</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（1）进一步加快预算执行进度。继续加强与项目具体实施科室和单位的沟通协调，加强工作计划性和预算执行进度，提高财政资金使用效率。</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（2）进一步提高预算编制准确性。我局将在编制次年部门预算时，结合当年实际开支，合理编制预算，提高预算编制的准确度，科学、合理的测算部门收支，提高预算精细化管理水平。</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四、评价结论及建议</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（一）评价结论</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总体看，我局2018年部门预算整体支出资金政策依据充分，绩效目标明确，资金使用和项目管理比较规范。</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（二）存在问题</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1.预算执行进度缓慢。由于部分</w:t>
      </w:r>
      <w:r>
        <w:rPr>
          <w:rFonts w:hint="eastAsia" w:ascii="仿宋_GB2312" w:eastAsia="仿宋_GB2312"/>
          <w:sz w:val="32"/>
          <w:szCs w:val="32"/>
        </w:rPr>
        <w:t>采购</w:t>
      </w:r>
      <w:r>
        <w:rPr>
          <w:rFonts w:hint="eastAsia" w:ascii="仿宋_GB2312" w:eastAsia="仿宋_GB2312"/>
          <w:sz w:val="32"/>
          <w:szCs w:val="32"/>
          <w:lang w:eastAsia="zh-CN"/>
        </w:rPr>
        <w:t>项目</w:t>
      </w:r>
      <w:r>
        <w:rPr>
          <w:rFonts w:hint="eastAsia" w:ascii="仿宋_GB2312" w:eastAsia="仿宋_GB2312"/>
          <w:sz w:val="32"/>
          <w:szCs w:val="32"/>
        </w:rPr>
        <w:t>程序复杂，耗时较长，导致预算执行还未达到财政的要求，年终有资金结转。</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2.预算编制精细化难度较大。预算编制与工作任务不完全同步。预算编制从当年10月份开始，此时次年的工作任务尚未明确细化，存在不确定因素，导致预算精细化程度还有欠缺。</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财政资金绩效评价及其结果应用难。财政绩效评价工作专业性很强，单凭部门自身难以设计符合实际、行之有效的指标体系，仅凭单位现有财务人员也难以深入开展此项工作，使绩效评价易流于形式，结果应用难。</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（三）改进建议</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1.进一步加强预算执行进度。继续加强与项目具体实施科室和单位的沟通协调，加强工作计划性和预算执行进度，提高财政资金使用效率。</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2.加强业务工作的计划性，做到早谋划、早安排。业务工作应提前计划并细化，做到与预算编制同步。</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3.选择部分重点项目开展绩效评价试点，引入第三方机构共同制定指标体系，总结经验，逐步推开。</w:t>
      </w:r>
    </w:p>
    <w:p>
      <w:pPr>
        <w:spacing w:line="580" w:lineRule="exact"/>
        <w:rPr>
          <w:rStyle w:val="19"/>
          <w:rFonts w:ascii="仿宋" w:hAnsi="仿宋" w:eastAsia="仿宋" w:cs="仿宋_GB2312"/>
          <w:b w:val="0"/>
          <w:bCs w:val="0"/>
          <w:kern w:val="2"/>
          <w:sz w:val="32"/>
          <w:szCs w:val="32"/>
        </w:rPr>
      </w:pPr>
      <w:r>
        <w:rPr>
          <w:rFonts w:ascii="仿宋_GB2312" w:hAnsi="仿宋_GB2312" w:eastAsia="仿宋_GB2312" w:cs="仿宋_GB2312"/>
        </w:rPr>
        <w:br w:type="page"/>
      </w:r>
    </w:p>
    <w:p>
      <w:pPr>
        <w:spacing w:line="600" w:lineRule="exact"/>
        <w:jc w:val="center"/>
        <w:outlineLvl w:val="0"/>
        <w:rPr>
          <w:rStyle w:val="19"/>
          <w:rFonts w:ascii="黑体" w:hAnsi="黑体" w:eastAsia="黑体"/>
          <w:b w:val="0"/>
        </w:rPr>
      </w:pPr>
      <w:bookmarkStart w:id="61" w:name="_Toc15396618"/>
      <w:r>
        <w:rPr>
          <w:rFonts w:hint="eastAsia" w:ascii="黑体" w:hAnsi="黑体" w:eastAsia="黑体"/>
          <w:color w:val="000000"/>
          <w:sz w:val="44"/>
          <w:szCs w:val="44"/>
        </w:rPr>
        <w:t>第</w:t>
      </w:r>
      <w:r>
        <w:rPr>
          <w:rStyle w:val="19"/>
          <w:rFonts w:hint="eastAsia" w:ascii="黑体" w:hAnsi="黑体" w:eastAsia="黑体"/>
          <w:b w:val="0"/>
        </w:rPr>
        <w:t>五部分</w:t>
      </w:r>
      <w:r>
        <w:rPr>
          <w:rStyle w:val="19"/>
          <w:rFonts w:ascii="黑体" w:hAnsi="黑体" w:eastAsia="黑体"/>
          <w:b w:val="0"/>
        </w:rPr>
        <w:t xml:space="preserve"> </w:t>
      </w:r>
      <w:r>
        <w:rPr>
          <w:rStyle w:val="19"/>
          <w:rFonts w:hint="eastAsia" w:ascii="黑体" w:hAnsi="黑体" w:eastAsia="黑体"/>
          <w:b w:val="0"/>
        </w:rPr>
        <w:t>附表</w:t>
      </w:r>
      <w:bookmarkEnd w:id="57"/>
      <w:bookmarkEnd w:id="61"/>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2" w:name="_Toc15396619"/>
      <w:r>
        <w:rPr>
          <w:rFonts w:hint="eastAsia" w:ascii="仿宋" w:hAnsi="仿宋" w:eastAsia="仿宋"/>
          <w:b w:val="0"/>
          <w:color w:val="000000"/>
        </w:rPr>
        <w:t>一、收</w:t>
      </w:r>
      <w:r>
        <w:rPr>
          <w:rStyle w:val="20"/>
          <w:rFonts w:hint="eastAsia" w:ascii="仿宋" w:hAnsi="仿宋" w:eastAsia="仿宋"/>
          <w:b w:val="0"/>
          <w:bCs w:val="0"/>
        </w:rPr>
        <w:t>入支出决算总表</w:t>
      </w:r>
      <w:bookmarkEnd w:id="62"/>
    </w:p>
    <w:p>
      <w:pPr>
        <w:pStyle w:val="3"/>
        <w:rPr>
          <w:rFonts w:ascii="仿宋" w:hAnsi="仿宋" w:eastAsia="仿宋"/>
          <w:color w:val="000000"/>
        </w:rPr>
      </w:pPr>
      <w:bookmarkStart w:id="63" w:name="_Toc15396620"/>
      <w:r>
        <w:rPr>
          <w:rFonts w:hint="eastAsia" w:ascii="仿宋" w:hAnsi="仿宋" w:eastAsia="仿宋"/>
          <w:b w:val="0"/>
          <w:color w:val="000000"/>
        </w:rPr>
        <w:t>二、收</w:t>
      </w:r>
      <w:r>
        <w:rPr>
          <w:rStyle w:val="20"/>
          <w:rFonts w:hint="eastAsia" w:ascii="仿宋" w:hAnsi="仿宋" w:eastAsia="仿宋"/>
          <w:b w:val="0"/>
          <w:bCs w:val="0"/>
        </w:rPr>
        <w:t>入总表</w:t>
      </w:r>
      <w:bookmarkEnd w:id="63"/>
    </w:p>
    <w:p>
      <w:pPr>
        <w:pStyle w:val="3"/>
        <w:rPr>
          <w:rFonts w:ascii="仿宋" w:hAnsi="仿宋" w:eastAsia="仿宋"/>
          <w:color w:val="000000"/>
        </w:rPr>
      </w:pPr>
      <w:bookmarkStart w:id="64" w:name="_Toc15396621"/>
      <w:r>
        <w:rPr>
          <w:rStyle w:val="20"/>
          <w:rFonts w:hint="eastAsia" w:ascii="仿宋" w:hAnsi="仿宋" w:eastAsia="仿宋"/>
          <w:b w:val="0"/>
          <w:bCs w:val="0"/>
        </w:rPr>
        <w:t>三、</w:t>
      </w:r>
      <w:r>
        <w:rPr>
          <w:rFonts w:hint="eastAsia" w:ascii="仿宋" w:hAnsi="仿宋" w:eastAsia="仿宋"/>
          <w:b w:val="0"/>
          <w:color w:val="000000"/>
        </w:rPr>
        <w:t>支</w:t>
      </w:r>
      <w:r>
        <w:rPr>
          <w:rStyle w:val="20"/>
          <w:rFonts w:hint="eastAsia" w:ascii="仿宋" w:hAnsi="仿宋" w:eastAsia="仿宋"/>
          <w:b w:val="0"/>
          <w:bCs w:val="0"/>
        </w:rPr>
        <w:t>出总表</w:t>
      </w:r>
      <w:bookmarkEnd w:id="64"/>
    </w:p>
    <w:p>
      <w:pPr>
        <w:pStyle w:val="3"/>
        <w:rPr>
          <w:rFonts w:ascii="仿宋" w:hAnsi="仿宋" w:eastAsia="仿宋"/>
          <w:b w:val="0"/>
          <w:color w:val="000000"/>
        </w:rPr>
      </w:pPr>
      <w:bookmarkStart w:id="65" w:name="_Toc15396622"/>
      <w:r>
        <w:rPr>
          <w:rStyle w:val="20"/>
          <w:rFonts w:hint="eastAsia" w:ascii="仿宋" w:hAnsi="仿宋" w:eastAsia="仿宋"/>
          <w:b w:val="0"/>
          <w:bCs w:val="0"/>
        </w:rPr>
        <w:t>四、</w:t>
      </w:r>
      <w:r>
        <w:rPr>
          <w:rFonts w:hint="eastAsia" w:ascii="仿宋" w:hAnsi="仿宋" w:eastAsia="仿宋"/>
          <w:b w:val="0"/>
          <w:color w:val="000000"/>
        </w:rPr>
        <w:t>财</w:t>
      </w:r>
      <w:r>
        <w:rPr>
          <w:rStyle w:val="20"/>
          <w:rFonts w:hint="eastAsia" w:ascii="仿宋" w:hAnsi="仿宋" w:eastAsia="仿宋"/>
          <w:b w:val="0"/>
          <w:bCs w:val="0"/>
        </w:rPr>
        <w:t>政拨款收入支出决算总表</w:t>
      </w:r>
      <w:bookmarkEnd w:id="65"/>
    </w:p>
    <w:p>
      <w:pPr>
        <w:pStyle w:val="3"/>
        <w:rPr>
          <w:rFonts w:ascii="仿宋" w:hAnsi="仿宋" w:eastAsia="仿宋"/>
          <w:color w:val="000000"/>
        </w:rPr>
      </w:pPr>
      <w:bookmarkStart w:id="66" w:name="_Toc15396623"/>
      <w:r>
        <w:rPr>
          <w:rStyle w:val="20"/>
          <w:rFonts w:hint="eastAsia" w:ascii="仿宋" w:hAnsi="仿宋" w:eastAsia="仿宋"/>
          <w:b w:val="0"/>
          <w:bCs w:val="0"/>
        </w:rPr>
        <w:t>五、</w:t>
      </w:r>
      <w:r>
        <w:rPr>
          <w:rFonts w:hint="eastAsia" w:ascii="仿宋" w:hAnsi="仿宋" w:eastAsia="仿宋"/>
          <w:b w:val="0"/>
          <w:color w:val="000000"/>
        </w:rPr>
        <w:t>财</w:t>
      </w:r>
      <w:r>
        <w:rPr>
          <w:rStyle w:val="20"/>
          <w:rFonts w:hint="eastAsia" w:ascii="仿宋" w:hAnsi="仿宋" w:eastAsia="仿宋"/>
          <w:b w:val="0"/>
          <w:bCs w:val="0"/>
        </w:rPr>
        <w:t>政拨款支出决算明细表（政府经济分类科目）</w:t>
      </w:r>
      <w:bookmarkEnd w:id="66"/>
    </w:p>
    <w:p>
      <w:pPr>
        <w:pStyle w:val="3"/>
        <w:rPr>
          <w:rFonts w:ascii="仿宋" w:hAnsi="仿宋" w:eastAsia="仿宋"/>
          <w:color w:val="000000"/>
        </w:rPr>
      </w:pPr>
      <w:bookmarkStart w:id="67" w:name="_Toc15396624"/>
      <w:r>
        <w:rPr>
          <w:rStyle w:val="20"/>
          <w:rFonts w:hint="eastAsia" w:ascii="仿宋" w:hAnsi="仿宋" w:eastAsia="仿宋"/>
          <w:b w:val="0"/>
          <w:bCs w:val="0"/>
        </w:rPr>
        <w:t>六、</w:t>
      </w:r>
      <w:r>
        <w:rPr>
          <w:rFonts w:hint="eastAsia" w:ascii="仿宋" w:hAnsi="仿宋" w:eastAsia="仿宋"/>
          <w:b w:val="0"/>
          <w:color w:val="000000"/>
        </w:rPr>
        <w:t>一</w:t>
      </w:r>
      <w:r>
        <w:rPr>
          <w:rStyle w:val="20"/>
          <w:rFonts w:hint="eastAsia" w:ascii="仿宋" w:hAnsi="仿宋" w:eastAsia="仿宋"/>
          <w:b w:val="0"/>
          <w:bCs w:val="0"/>
        </w:rPr>
        <w:t>般公共预算财政拨款支出决算表</w:t>
      </w:r>
      <w:bookmarkEnd w:id="67"/>
    </w:p>
    <w:p>
      <w:pPr>
        <w:pStyle w:val="3"/>
        <w:rPr>
          <w:rFonts w:ascii="仿宋" w:hAnsi="仿宋" w:eastAsia="仿宋"/>
          <w:color w:val="000000"/>
        </w:rPr>
      </w:pPr>
      <w:bookmarkStart w:id="68" w:name="_Toc15396625"/>
      <w:r>
        <w:rPr>
          <w:rStyle w:val="20"/>
          <w:rFonts w:hint="eastAsia" w:ascii="仿宋" w:hAnsi="仿宋" w:eastAsia="仿宋"/>
          <w:b w:val="0"/>
          <w:bCs w:val="0"/>
        </w:rPr>
        <w:t>七、</w:t>
      </w:r>
      <w:r>
        <w:rPr>
          <w:rFonts w:hint="eastAsia" w:ascii="仿宋" w:hAnsi="仿宋" w:eastAsia="仿宋"/>
          <w:b w:val="0"/>
          <w:color w:val="000000"/>
        </w:rPr>
        <w:t>一</w:t>
      </w:r>
      <w:r>
        <w:rPr>
          <w:rStyle w:val="20"/>
          <w:rFonts w:hint="eastAsia" w:ascii="仿宋" w:hAnsi="仿宋" w:eastAsia="仿宋"/>
          <w:b w:val="0"/>
          <w:bCs w:val="0"/>
        </w:rPr>
        <w:t>般公共预算财政拨款支出决算明细表</w:t>
      </w:r>
      <w:bookmarkEnd w:id="68"/>
    </w:p>
    <w:p>
      <w:pPr>
        <w:pStyle w:val="3"/>
        <w:rPr>
          <w:rFonts w:ascii="仿宋" w:hAnsi="仿宋" w:eastAsia="仿宋"/>
          <w:color w:val="000000"/>
        </w:rPr>
      </w:pPr>
      <w:bookmarkStart w:id="69" w:name="_Toc15396626"/>
      <w:r>
        <w:rPr>
          <w:rStyle w:val="20"/>
          <w:rFonts w:hint="eastAsia" w:ascii="仿宋" w:hAnsi="仿宋" w:eastAsia="仿宋"/>
          <w:b w:val="0"/>
          <w:bCs w:val="0"/>
        </w:rPr>
        <w:t>八、</w:t>
      </w:r>
      <w:r>
        <w:rPr>
          <w:rFonts w:hint="eastAsia" w:ascii="仿宋" w:hAnsi="仿宋" w:eastAsia="仿宋"/>
          <w:b w:val="0"/>
          <w:color w:val="000000"/>
        </w:rPr>
        <w:t>一</w:t>
      </w:r>
      <w:r>
        <w:rPr>
          <w:rStyle w:val="20"/>
          <w:rFonts w:hint="eastAsia" w:ascii="仿宋" w:hAnsi="仿宋" w:eastAsia="仿宋"/>
          <w:b w:val="0"/>
          <w:bCs w:val="0"/>
        </w:rPr>
        <w:t>般公共预算财政拨款基本支出决算表</w:t>
      </w:r>
      <w:bookmarkEnd w:id="69"/>
    </w:p>
    <w:p>
      <w:pPr>
        <w:pStyle w:val="3"/>
        <w:rPr>
          <w:rFonts w:ascii="仿宋" w:hAnsi="仿宋" w:eastAsia="仿宋"/>
          <w:color w:val="000000"/>
        </w:rPr>
      </w:pPr>
      <w:bookmarkStart w:id="70" w:name="_Toc15396627"/>
      <w:r>
        <w:rPr>
          <w:rStyle w:val="20"/>
          <w:rFonts w:hint="eastAsia" w:ascii="仿宋" w:hAnsi="仿宋" w:eastAsia="仿宋"/>
          <w:b w:val="0"/>
          <w:bCs w:val="0"/>
        </w:rPr>
        <w:t>九、</w:t>
      </w:r>
      <w:r>
        <w:rPr>
          <w:rFonts w:hint="eastAsia" w:ascii="仿宋" w:hAnsi="仿宋" w:eastAsia="仿宋"/>
          <w:b w:val="0"/>
          <w:color w:val="000000"/>
        </w:rPr>
        <w:t>一</w:t>
      </w:r>
      <w:r>
        <w:rPr>
          <w:rStyle w:val="20"/>
          <w:rFonts w:hint="eastAsia" w:ascii="仿宋" w:hAnsi="仿宋" w:eastAsia="仿宋"/>
          <w:b w:val="0"/>
          <w:bCs w:val="0"/>
        </w:rPr>
        <w:t>般公共预算财政拨款项目支出决算表</w:t>
      </w:r>
      <w:bookmarkEnd w:id="70"/>
    </w:p>
    <w:p>
      <w:pPr>
        <w:pStyle w:val="3"/>
        <w:rPr>
          <w:rFonts w:ascii="仿宋" w:hAnsi="仿宋" w:eastAsia="仿宋"/>
          <w:color w:val="000000"/>
        </w:rPr>
      </w:pPr>
      <w:bookmarkStart w:id="71" w:name="_Toc15396628"/>
      <w:r>
        <w:rPr>
          <w:rStyle w:val="20"/>
          <w:rFonts w:hint="eastAsia" w:ascii="仿宋" w:hAnsi="仿宋" w:eastAsia="仿宋"/>
          <w:b w:val="0"/>
          <w:bCs w:val="0"/>
        </w:rPr>
        <w:t>十、</w:t>
      </w:r>
      <w:r>
        <w:rPr>
          <w:rFonts w:hint="eastAsia" w:ascii="仿宋" w:hAnsi="仿宋" w:eastAsia="仿宋"/>
          <w:b w:val="0"/>
          <w:color w:val="000000"/>
        </w:rPr>
        <w:t>一</w:t>
      </w:r>
      <w:r>
        <w:rPr>
          <w:rStyle w:val="20"/>
          <w:rFonts w:hint="eastAsia" w:ascii="仿宋" w:hAnsi="仿宋" w:eastAsia="仿宋"/>
          <w:b w:val="0"/>
          <w:bCs w:val="0"/>
        </w:rPr>
        <w:t>般公共预算财政拨款“三公”经费支出决算表</w:t>
      </w:r>
      <w:bookmarkEnd w:id="71"/>
    </w:p>
    <w:p>
      <w:pPr>
        <w:pStyle w:val="3"/>
        <w:rPr>
          <w:rFonts w:ascii="仿宋" w:hAnsi="仿宋" w:eastAsia="仿宋"/>
          <w:color w:val="000000"/>
        </w:rPr>
      </w:pPr>
      <w:bookmarkStart w:id="72" w:name="_Toc15396629"/>
      <w:r>
        <w:rPr>
          <w:rStyle w:val="20"/>
          <w:rFonts w:hint="eastAsia" w:ascii="仿宋" w:hAnsi="仿宋" w:eastAsia="仿宋"/>
          <w:b w:val="0"/>
          <w:bCs w:val="0"/>
        </w:rPr>
        <w:t>十一、</w:t>
      </w:r>
      <w:r>
        <w:rPr>
          <w:rFonts w:hint="eastAsia" w:ascii="仿宋" w:hAnsi="仿宋" w:eastAsia="仿宋"/>
          <w:b w:val="0"/>
          <w:color w:val="000000"/>
        </w:rPr>
        <w:t>政</w:t>
      </w:r>
      <w:r>
        <w:rPr>
          <w:rStyle w:val="20"/>
          <w:rFonts w:hint="eastAsia" w:ascii="仿宋" w:hAnsi="仿宋" w:eastAsia="仿宋"/>
          <w:b w:val="0"/>
          <w:bCs w:val="0"/>
        </w:rPr>
        <w:t>府性基金预算财政拨款收入支出决算表</w:t>
      </w:r>
      <w:bookmarkEnd w:id="72"/>
    </w:p>
    <w:p>
      <w:pPr>
        <w:pStyle w:val="3"/>
        <w:rPr>
          <w:rFonts w:ascii="仿宋" w:hAnsi="仿宋" w:eastAsia="仿宋"/>
          <w:color w:val="000000"/>
        </w:rPr>
      </w:pPr>
      <w:bookmarkStart w:id="73" w:name="_Toc15396630"/>
      <w:r>
        <w:rPr>
          <w:rStyle w:val="20"/>
          <w:rFonts w:hint="eastAsia" w:ascii="仿宋" w:hAnsi="仿宋" w:eastAsia="仿宋"/>
          <w:b w:val="0"/>
          <w:bCs w:val="0"/>
        </w:rPr>
        <w:t>十二、</w:t>
      </w:r>
      <w:r>
        <w:rPr>
          <w:rFonts w:hint="eastAsia" w:ascii="仿宋" w:hAnsi="仿宋" w:eastAsia="仿宋"/>
          <w:b w:val="0"/>
          <w:color w:val="000000"/>
        </w:rPr>
        <w:t>政</w:t>
      </w:r>
      <w:r>
        <w:rPr>
          <w:rStyle w:val="20"/>
          <w:rFonts w:hint="eastAsia" w:ascii="仿宋" w:hAnsi="仿宋" w:eastAsia="仿宋"/>
          <w:b w:val="0"/>
          <w:bCs w:val="0"/>
        </w:rPr>
        <w:t>府性基金预算财政拨款“三公”经费支出决算表</w:t>
      </w:r>
      <w:bookmarkEnd w:id="73"/>
    </w:p>
    <w:p>
      <w:pPr>
        <w:pStyle w:val="3"/>
        <w:rPr>
          <w:rFonts w:ascii="仿宋" w:hAnsi="仿宋" w:eastAsia="仿宋"/>
          <w:color w:val="000000"/>
        </w:rPr>
      </w:pPr>
      <w:bookmarkStart w:id="74" w:name="_Toc15396631"/>
      <w:r>
        <w:rPr>
          <w:rStyle w:val="20"/>
          <w:rFonts w:hint="eastAsia" w:ascii="仿宋" w:hAnsi="仿宋" w:eastAsia="仿宋"/>
          <w:b w:val="0"/>
          <w:bCs w:val="0"/>
        </w:rPr>
        <w:t>十三、</w:t>
      </w:r>
      <w:r>
        <w:rPr>
          <w:rFonts w:hint="eastAsia" w:ascii="仿宋" w:hAnsi="仿宋" w:eastAsia="仿宋"/>
          <w:b w:val="0"/>
          <w:color w:val="000000"/>
        </w:rPr>
        <w:t>国</w:t>
      </w:r>
      <w:r>
        <w:rPr>
          <w:rStyle w:val="20"/>
          <w:rFonts w:hint="eastAsia" w:ascii="仿宋" w:hAnsi="仿宋" w:eastAsia="仿宋"/>
          <w:b w:val="0"/>
          <w:bCs w:val="0"/>
        </w:rPr>
        <w:t>有资本经营预算支出决算表</w:t>
      </w:r>
      <w:bookmarkEnd w:id="74"/>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22</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cs="Times New Roman"/>
      </w:rPr>
    </w:lvl>
    <w:lvl w:ilvl="1" w:tentative="0">
      <w:start w:val="1"/>
      <w:numFmt w:val="lowerLetter"/>
      <w:lvlText w:val="%2)"/>
      <w:lvlJc w:val="left"/>
      <w:pPr>
        <w:ind w:left="1549" w:hanging="420"/>
      </w:pPr>
      <w:rPr>
        <w:rFonts w:cs="Times New Roman"/>
      </w:rPr>
    </w:lvl>
    <w:lvl w:ilvl="2" w:tentative="0">
      <w:start w:val="1"/>
      <w:numFmt w:val="lowerRoman"/>
      <w:lvlText w:val="%3."/>
      <w:lvlJc w:val="right"/>
      <w:pPr>
        <w:ind w:left="1969" w:hanging="420"/>
      </w:pPr>
      <w:rPr>
        <w:rFonts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abstractNum w:abstractNumId="5">
    <w:nsid w:val="4DB83E77"/>
    <w:multiLevelType w:val="singleLevel"/>
    <w:tmpl w:val="4DB83E77"/>
    <w:lvl w:ilvl="0" w:tentative="0">
      <w:start w:val="2"/>
      <w:numFmt w:val="chineseCounting"/>
      <w:suff w:val="nothing"/>
      <w:lvlText w:val="（%1）"/>
      <w:lvlJc w:val="left"/>
      <w:rPr>
        <w:rFonts w:hint="eastAsia"/>
      </w:rPr>
    </w:lvl>
  </w:abstractNum>
  <w:abstractNum w:abstractNumId="6">
    <w:nsid w:val="62621CDC"/>
    <w:multiLevelType w:val="multilevel"/>
    <w:tmpl w:val="62621CDC"/>
    <w:lvl w:ilvl="0" w:tentative="0">
      <w:start w:val="1"/>
      <w:numFmt w:val="decimal"/>
      <w:lvlText w:val="%1."/>
      <w:lvlJc w:val="left"/>
      <w:pPr>
        <w:ind w:left="1152" w:hanging="480"/>
      </w:pPr>
      <w:rPr>
        <w:rFonts w:hint="default" w:cs="Times New Roman"/>
      </w:rPr>
    </w:lvl>
    <w:lvl w:ilvl="1" w:tentative="0">
      <w:start w:val="1"/>
      <w:numFmt w:val="lowerLetter"/>
      <w:lvlText w:val="%2)"/>
      <w:lvlJc w:val="left"/>
      <w:pPr>
        <w:ind w:left="1512" w:hanging="420"/>
      </w:pPr>
      <w:rPr>
        <w:rFonts w:cs="Times New Roman"/>
      </w:rPr>
    </w:lvl>
    <w:lvl w:ilvl="2" w:tentative="0">
      <w:start w:val="1"/>
      <w:numFmt w:val="lowerRoman"/>
      <w:lvlText w:val="%3."/>
      <w:lvlJc w:val="right"/>
      <w:pPr>
        <w:ind w:left="1932" w:hanging="420"/>
      </w:pPr>
      <w:rPr>
        <w:rFonts w:cs="Times New Roman"/>
      </w:rPr>
    </w:lvl>
    <w:lvl w:ilvl="3" w:tentative="0">
      <w:start w:val="1"/>
      <w:numFmt w:val="decimal"/>
      <w:lvlText w:val="%4."/>
      <w:lvlJc w:val="left"/>
      <w:pPr>
        <w:ind w:left="2352" w:hanging="420"/>
      </w:pPr>
      <w:rPr>
        <w:rFonts w:cs="Times New Roman"/>
      </w:rPr>
    </w:lvl>
    <w:lvl w:ilvl="4" w:tentative="0">
      <w:start w:val="1"/>
      <w:numFmt w:val="lowerLetter"/>
      <w:lvlText w:val="%5)"/>
      <w:lvlJc w:val="left"/>
      <w:pPr>
        <w:ind w:left="2772" w:hanging="420"/>
      </w:pPr>
      <w:rPr>
        <w:rFonts w:cs="Times New Roman"/>
      </w:rPr>
    </w:lvl>
    <w:lvl w:ilvl="5" w:tentative="0">
      <w:start w:val="1"/>
      <w:numFmt w:val="lowerRoman"/>
      <w:lvlText w:val="%6."/>
      <w:lvlJc w:val="right"/>
      <w:pPr>
        <w:ind w:left="3192" w:hanging="420"/>
      </w:pPr>
      <w:rPr>
        <w:rFonts w:cs="Times New Roman"/>
      </w:rPr>
    </w:lvl>
    <w:lvl w:ilvl="6" w:tentative="0">
      <w:start w:val="1"/>
      <w:numFmt w:val="decimal"/>
      <w:lvlText w:val="%7."/>
      <w:lvlJc w:val="left"/>
      <w:pPr>
        <w:ind w:left="3612" w:hanging="420"/>
      </w:pPr>
      <w:rPr>
        <w:rFonts w:cs="Times New Roman"/>
      </w:rPr>
    </w:lvl>
    <w:lvl w:ilvl="7" w:tentative="0">
      <w:start w:val="1"/>
      <w:numFmt w:val="lowerLetter"/>
      <w:lvlText w:val="%8)"/>
      <w:lvlJc w:val="left"/>
      <w:pPr>
        <w:ind w:left="4032" w:hanging="420"/>
      </w:pPr>
      <w:rPr>
        <w:rFonts w:cs="Times New Roman"/>
      </w:rPr>
    </w:lvl>
    <w:lvl w:ilvl="8" w:tentative="0">
      <w:start w:val="1"/>
      <w:numFmt w:val="lowerRoman"/>
      <w:lvlText w:val="%9."/>
      <w:lvlJc w:val="right"/>
      <w:pPr>
        <w:ind w:left="4452" w:hanging="420"/>
      </w:pPr>
      <w:rPr>
        <w:rFonts w:cs="Times New Roman"/>
      </w:r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080B"/>
    <w:rsid w:val="00202B36"/>
    <w:rsid w:val="00204B7A"/>
    <w:rsid w:val="0021101A"/>
    <w:rsid w:val="00220536"/>
    <w:rsid w:val="002273E8"/>
    <w:rsid w:val="00235629"/>
    <w:rsid w:val="00256F44"/>
    <w:rsid w:val="00260C38"/>
    <w:rsid w:val="002616C0"/>
    <w:rsid w:val="002662AA"/>
    <w:rsid w:val="00280496"/>
    <w:rsid w:val="00295495"/>
    <w:rsid w:val="0029715C"/>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E346D"/>
    <w:rsid w:val="007F1991"/>
    <w:rsid w:val="007F2C2F"/>
    <w:rsid w:val="007F55FC"/>
    <w:rsid w:val="007F5665"/>
    <w:rsid w:val="00800112"/>
    <w:rsid w:val="0081497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C633F"/>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0CA4"/>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082C"/>
    <w:rsid w:val="00B81598"/>
    <w:rsid w:val="00B841F1"/>
    <w:rsid w:val="00B944D6"/>
    <w:rsid w:val="00BA0C34"/>
    <w:rsid w:val="00BA6639"/>
    <w:rsid w:val="00BB4DF0"/>
    <w:rsid w:val="00BC289F"/>
    <w:rsid w:val="00BC5361"/>
    <w:rsid w:val="00BC5460"/>
    <w:rsid w:val="00BC6B50"/>
    <w:rsid w:val="00BD0E25"/>
    <w:rsid w:val="00BF5BD6"/>
    <w:rsid w:val="00C03E31"/>
    <w:rsid w:val="00C05BB1"/>
    <w:rsid w:val="00C33E72"/>
    <w:rsid w:val="00C33EE6"/>
    <w:rsid w:val="00C354B2"/>
    <w:rsid w:val="00C35554"/>
    <w:rsid w:val="00C42709"/>
    <w:rsid w:val="00C533CC"/>
    <w:rsid w:val="00C5751C"/>
    <w:rsid w:val="00C61BFC"/>
    <w:rsid w:val="00C62B85"/>
    <w:rsid w:val="00C65438"/>
    <w:rsid w:val="00C91CBB"/>
    <w:rsid w:val="00C92233"/>
    <w:rsid w:val="00CC09B6"/>
    <w:rsid w:val="00CC666F"/>
    <w:rsid w:val="00CD1E3F"/>
    <w:rsid w:val="00CE44F6"/>
    <w:rsid w:val="00CE49DA"/>
    <w:rsid w:val="00CE7B61"/>
    <w:rsid w:val="00D00095"/>
    <w:rsid w:val="00D14ADB"/>
    <w:rsid w:val="00D20620"/>
    <w:rsid w:val="00D26091"/>
    <w:rsid w:val="00D34E7C"/>
    <w:rsid w:val="00D35489"/>
    <w:rsid w:val="00D51276"/>
    <w:rsid w:val="00D7035F"/>
    <w:rsid w:val="00DA65AC"/>
    <w:rsid w:val="00DB0F51"/>
    <w:rsid w:val="00DB1913"/>
    <w:rsid w:val="00DC410D"/>
    <w:rsid w:val="00DC68CA"/>
    <w:rsid w:val="00DC7CBA"/>
    <w:rsid w:val="00DD73B7"/>
    <w:rsid w:val="00DE717E"/>
    <w:rsid w:val="00DF28BC"/>
    <w:rsid w:val="00DF34B9"/>
    <w:rsid w:val="00DF39A1"/>
    <w:rsid w:val="00E01053"/>
    <w:rsid w:val="00E0163F"/>
    <w:rsid w:val="00E07ACF"/>
    <w:rsid w:val="00E331A1"/>
    <w:rsid w:val="00E33202"/>
    <w:rsid w:val="00E336A9"/>
    <w:rsid w:val="00E50624"/>
    <w:rsid w:val="00E561A8"/>
    <w:rsid w:val="00E568DF"/>
    <w:rsid w:val="00E64269"/>
    <w:rsid w:val="00E82267"/>
    <w:rsid w:val="00EA010F"/>
    <w:rsid w:val="00ED1B63"/>
    <w:rsid w:val="00ED3C1F"/>
    <w:rsid w:val="00ED4085"/>
    <w:rsid w:val="00ED420E"/>
    <w:rsid w:val="00EE2F57"/>
    <w:rsid w:val="00EE3046"/>
    <w:rsid w:val="00EF4C34"/>
    <w:rsid w:val="00EF77C6"/>
    <w:rsid w:val="00F05438"/>
    <w:rsid w:val="00F1361C"/>
    <w:rsid w:val="00F160C7"/>
    <w:rsid w:val="00F36D8F"/>
    <w:rsid w:val="00F417B1"/>
    <w:rsid w:val="00F602DF"/>
    <w:rsid w:val="00F81FD9"/>
    <w:rsid w:val="00F841AA"/>
    <w:rsid w:val="00FA23E8"/>
    <w:rsid w:val="00FD3CC1"/>
    <w:rsid w:val="00FF1E02"/>
    <w:rsid w:val="00FF30B4"/>
    <w:rsid w:val="01201737"/>
    <w:rsid w:val="03240588"/>
    <w:rsid w:val="033D2FE9"/>
    <w:rsid w:val="03D0210F"/>
    <w:rsid w:val="03FD657C"/>
    <w:rsid w:val="040633A3"/>
    <w:rsid w:val="0410286B"/>
    <w:rsid w:val="041E01CF"/>
    <w:rsid w:val="04A40429"/>
    <w:rsid w:val="04BA5E3A"/>
    <w:rsid w:val="056301AE"/>
    <w:rsid w:val="05707D7D"/>
    <w:rsid w:val="05D54D78"/>
    <w:rsid w:val="05F25A99"/>
    <w:rsid w:val="0846145F"/>
    <w:rsid w:val="088326A0"/>
    <w:rsid w:val="095A6742"/>
    <w:rsid w:val="0A5B78D8"/>
    <w:rsid w:val="0AA33C7B"/>
    <w:rsid w:val="0AB81762"/>
    <w:rsid w:val="0B8B443C"/>
    <w:rsid w:val="0C70404A"/>
    <w:rsid w:val="0EC56631"/>
    <w:rsid w:val="0F4F59BA"/>
    <w:rsid w:val="10C055FF"/>
    <w:rsid w:val="10E612A4"/>
    <w:rsid w:val="121113AF"/>
    <w:rsid w:val="129A3EF3"/>
    <w:rsid w:val="13941720"/>
    <w:rsid w:val="158C00E0"/>
    <w:rsid w:val="15E06A0A"/>
    <w:rsid w:val="160B6EF1"/>
    <w:rsid w:val="16BB723D"/>
    <w:rsid w:val="16E91946"/>
    <w:rsid w:val="17237A34"/>
    <w:rsid w:val="17585622"/>
    <w:rsid w:val="17B106F4"/>
    <w:rsid w:val="18524626"/>
    <w:rsid w:val="1A80722C"/>
    <w:rsid w:val="1AD33951"/>
    <w:rsid w:val="1BF62882"/>
    <w:rsid w:val="1C3375F7"/>
    <w:rsid w:val="1D1019D7"/>
    <w:rsid w:val="1D381530"/>
    <w:rsid w:val="1ED87A95"/>
    <w:rsid w:val="1FCC55C0"/>
    <w:rsid w:val="213F1E98"/>
    <w:rsid w:val="217946B3"/>
    <w:rsid w:val="21BB53E8"/>
    <w:rsid w:val="2281262A"/>
    <w:rsid w:val="23A83AF4"/>
    <w:rsid w:val="240371BF"/>
    <w:rsid w:val="243B28D0"/>
    <w:rsid w:val="24863D0A"/>
    <w:rsid w:val="24C12E08"/>
    <w:rsid w:val="25455C3A"/>
    <w:rsid w:val="271B40E9"/>
    <w:rsid w:val="2765461F"/>
    <w:rsid w:val="27DB1FCF"/>
    <w:rsid w:val="2859456C"/>
    <w:rsid w:val="289554E2"/>
    <w:rsid w:val="28B66FF7"/>
    <w:rsid w:val="28FC7AD5"/>
    <w:rsid w:val="29386F36"/>
    <w:rsid w:val="294D5734"/>
    <w:rsid w:val="29FD04D3"/>
    <w:rsid w:val="2A486375"/>
    <w:rsid w:val="2A4E448B"/>
    <w:rsid w:val="2B1A5187"/>
    <w:rsid w:val="2BA67C3A"/>
    <w:rsid w:val="2C72010D"/>
    <w:rsid w:val="2E39573E"/>
    <w:rsid w:val="2E5163F9"/>
    <w:rsid w:val="2F0B33DC"/>
    <w:rsid w:val="2F5919AB"/>
    <w:rsid w:val="2F692BCC"/>
    <w:rsid w:val="30A72655"/>
    <w:rsid w:val="319F7F4E"/>
    <w:rsid w:val="3295435C"/>
    <w:rsid w:val="32E20BA1"/>
    <w:rsid w:val="33BA790B"/>
    <w:rsid w:val="34450B75"/>
    <w:rsid w:val="35027D20"/>
    <w:rsid w:val="35FF19A1"/>
    <w:rsid w:val="36D95C4A"/>
    <w:rsid w:val="370F696D"/>
    <w:rsid w:val="376F1C1C"/>
    <w:rsid w:val="38C87A50"/>
    <w:rsid w:val="395155F6"/>
    <w:rsid w:val="39DE7F6C"/>
    <w:rsid w:val="3A333F5F"/>
    <w:rsid w:val="3B207C78"/>
    <w:rsid w:val="3B62397E"/>
    <w:rsid w:val="3C922549"/>
    <w:rsid w:val="3DE10467"/>
    <w:rsid w:val="3EFE5CD4"/>
    <w:rsid w:val="3F592410"/>
    <w:rsid w:val="3F965F00"/>
    <w:rsid w:val="4005347E"/>
    <w:rsid w:val="40256A62"/>
    <w:rsid w:val="40454020"/>
    <w:rsid w:val="40B75FC7"/>
    <w:rsid w:val="413966D8"/>
    <w:rsid w:val="41730882"/>
    <w:rsid w:val="426513CA"/>
    <w:rsid w:val="441304DE"/>
    <w:rsid w:val="4512360D"/>
    <w:rsid w:val="46763FCE"/>
    <w:rsid w:val="483B1A4F"/>
    <w:rsid w:val="490A086E"/>
    <w:rsid w:val="49D57937"/>
    <w:rsid w:val="4A522BCF"/>
    <w:rsid w:val="4A6C0BDF"/>
    <w:rsid w:val="4A8875A3"/>
    <w:rsid w:val="4B387FE4"/>
    <w:rsid w:val="4B631CB0"/>
    <w:rsid w:val="4BE70CFA"/>
    <w:rsid w:val="4C763BFC"/>
    <w:rsid w:val="4EBF07BE"/>
    <w:rsid w:val="4ED16F58"/>
    <w:rsid w:val="4F0F47B0"/>
    <w:rsid w:val="4F496C5E"/>
    <w:rsid w:val="4F9F54B0"/>
    <w:rsid w:val="50C166D9"/>
    <w:rsid w:val="50DE07F3"/>
    <w:rsid w:val="525B722A"/>
    <w:rsid w:val="53B66E77"/>
    <w:rsid w:val="53C93964"/>
    <w:rsid w:val="5441594C"/>
    <w:rsid w:val="54807F02"/>
    <w:rsid w:val="55D211FB"/>
    <w:rsid w:val="56522319"/>
    <w:rsid w:val="56C576C3"/>
    <w:rsid w:val="575F5934"/>
    <w:rsid w:val="578E5381"/>
    <w:rsid w:val="57B7444B"/>
    <w:rsid w:val="57C86159"/>
    <w:rsid w:val="58926E57"/>
    <w:rsid w:val="59B30BCB"/>
    <w:rsid w:val="5B783AA5"/>
    <w:rsid w:val="5C8B29AF"/>
    <w:rsid w:val="5CBA50FD"/>
    <w:rsid w:val="5D1B7069"/>
    <w:rsid w:val="60231502"/>
    <w:rsid w:val="609022FC"/>
    <w:rsid w:val="60DB5314"/>
    <w:rsid w:val="62554ED5"/>
    <w:rsid w:val="63785B5D"/>
    <w:rsid w:val="63CD3723"/>
    <w:rsid w:val="63F40CDE"/>
    <w:rsid w:val="6491249E"/>
    <w:rsid w:val="65250E56"/>
    <w:rsid w:val="65881724"/>
    <w:rsid w:val="66067AD2"/>
    <w:rsid w:val="667B5ED7"/>
    <w:rsid w:val="6685733E"/>
    <w:rsid w:val="67313016"/>
    <w:rsid w:val="67D5687F"/>
    <w:rsid w:val="67F6697D"/>
    <w:rsid w:val="68510F38"/>
    <w:rsid w:val="68A4720C"/>
    <w:rsid w:val="68C92F41"/>
    <w:rsid w:val="691651B9"/>
    <w:rsid w:val="69C53748"/>
    <w:rsid w:val="6A621A26"/>
    <w:rsid w:val="6BFD69DB"/>
    <w:rsid w:val="6BFF4AB2"/>
    <w:rsid w:val="6D3509D1"/>
    <w:rsid w:val="6D7511F8"/>
    <w:rsid w:val="6D8A26A3"/>
    <w:rsid w:val="6DCC01AA"/>
    <w:rsid w:val="6DD33358"/>
    <w:rsid w:val="702B4B33"/>
    <w:rsid w:val="706E60AB"/>
    <w:rsid w:val="719B0AC8"/>
    <w:rsid w:val="725346A3"/>
    <w:rsid w:val="725C0ABB"/>
    <w:rsid w:val="72E0679F"/>
    <w:rsid w:val="73613586"/>
    <w:rsid w:val="73613F40"/>
    <w:rsid w:val="73D754A7"/>
    <w:rsid w:val="74AF54C2"/>
    <w:rsid w:val="74B87BBE"/>
    <w:rsid w:val="74C41814"/>
    <w:rsid w:val="75793747"/>
    <w:rsid w:val="768B53A4"/>
    <w:rsid w:val="77354D54"/>
    <w:rsid w:val="78652369"/>
    <w:rsid w:val="78B0592D"/>
    <w:rsid w:val="79725593"/>
    <w:rsid w:val="7A3531A5"/>
    <w:rsid w:val="7A6B56C6"/>
    <w:rsid w:val="7CFC1A1A"/>
    <w:rsid w:val="7D1673C5"/>
    <w:rsid w:val="7D2A6BD1"/>
    <w:rsid w:val="7E993054"/>
    <w:rsid w:val="7EB970E7"/>
    <w:rsid w:val="7EE128B9"/>
    <w:rsid w:val="7FF11CE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4">
    <w:name w:val="Default Paragraph Font"/>
    <w:semiHidden/>
    <w:qFormat/>
    <w:uiPriority w:val="99"/>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7"/>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31"/>
    <w:semiHidden/>
    <w:qFormat/>
    <w:uiPriority w:val="99"/>
    <w:rPr>
      <w:sz w:val="18"/>
      <w:szCs w:val="18"/>
    </w:rPr>
  </w:style>
  <w:style w:type="paragraph" w:styleId="8">
    <w:name w:val="footer"/>
    <w:basedOn w:val="1"/>
    <w:link w:val="26"/>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5">
    <w:name w:val="Strong"/>
    <w:basedOn w:val="14"/>
    <w:qFormat/>
    <w:uiPriority w:val="99"/>
    <w:rPr>
      <w:rFonts w:cs="Times New Roman"/>
      <w:b/>
    </w:rPr>
  </w:style>
  <w:style w:type="character" w:styleId="16">
    <w:name w:val="FollowedHyperlink"/>
    <w:basedOn w:val="14"/>
    <w:semiHidden/>
    <w:unhideWhenUsed/>
    <w:qFormat/>
    <w:uiPriority w:val="99"/>
    <w:rPr>
      <w:color w:val="595959"/>
      <w:u w:val="none"/>
    </w:rPr>
  </w:style>
  <w:style w:type="character" w:styleId="17">
    <w:name w:val="Emphasis"/>
    <w:basedOn w:val="14"/>
    <w:qFormat/>
    <w:locked/>
    <w:uiPriority w:val="0"/>
    <w:rPr>
      <w:i/>
    </w:rPr>
  </w:style>
  <w:style w:type="character" w:styleId="18">
    <w:name w:val="Hyperlink"/>
    <w:basedOn w:val="14"/>
    <w:qFormat/>
    <w:uiPriority w:val="99"/>
    <w:rPr>
      <w:rFonts w:cs="Times New Roman"/>
      <w:color w:val="0000FF"/>
      <w:u w:val="single"/>
    </w:rPr>
  </w:style>
  <w:style w:type="character" w:customStyle="1" w:styleId="19">
    <w:name w:val="Heading 1 Char"/>
    <w:basedOn w:val="14"/>
    <w:link w:val="2"/>
    <w:qFormat/>
    <w:locked/>
    <w:uiPriority w:val="99"/>
    <w:rPr>
      <w:rFonts w:ascii="Times New Roman" w:hAnsi="Times New Roman" w:cs="Times New Roman"/>
      <w:b/>
      <w:bCs/>
      <w:kern w:val="44"/>
      <w:sz w:val="44"/>
      <w:szCs w:val="44"/>
    </w:rPr>
  </w:style>
  <w:style w:type="character" w:customStyle="1" w:styleId="20">
    <w:name w:val="Heading 2 Char"/>
    <w:basedOn w:val="14"/>
    <w:link w:val="3"/>
    <w:qFormat/>
    <w:locked/>
    <w:uiPriority w:val="99"/>
    <w:rPr>
      <w:rFonts w:ascii="Cambria" w:hAnsi="Cambria" w:eastAsia="宋体" w:cs="Times New Roman"/>
      <w:b/>
      <w:bCs/>
      <w:kern w:val="2"/>
      <w:sz w:val="32"/>
      <w:szCs w:val="32"/>
    </w:rPr>
  </w:style>
  <w:style w:type="character" w:customStyle="1" w:styleId="21">
    <w:name w:val="Heading 3 Char"/>
    <w:basedOn w:val="14"/>
    <w:link w:val="4"/>
    <w:qFormat/>
    <w:locked/>
    <w:uiPriority w:val="99"/>
    <w:rPr>
      <w:rFonts w:ascii="Times New Roman" w:hAnsi="Times New Roman" w:cs="Times New Roman"/>
      <w:b/>
      <w:bCs/>
      <w:kern w:val="2"/>
      <w:sz w:val="32"/>
      <w:szCs w:val="32"/>
    </w:rPr>
  </w:style>
  <w:style w:type="character" w:customStyle="1" w:styleId="22">
    <w:name w:val="Body Text Char"/>
    <w:basedOn w:val="14"/>
    <w:link w:val="5"/>
    <w:semiHidden/>
    <w:qFormat/>
    <w:locked/>
    <w:uiPriority w:val="99"/>
    <w:rPr>
      <w:rFonts w:ascii="Times New Roman" w:hAnsi="Times New Roman" w:cs="Times New Roman"/>
      <w:sz w:val="24"/>
      <w:szCs w:val="24"/>
    </w:rPr>
  </w:style>
  <w:style w:type="character" w:customStyle="1" w:styleId="23">
    <w:name w:val="Footer Char"/>
    <w:basedOn w:val="14"/>
    <w:link w:val="8"/>
    <w:semiHidden/>
    <w:qFormat/>
    <w:locked/>
    <w:uiPriority w:val="99"/>
    <w:rPr>
      <w:rFonts w:ascii="Times New Roman" w:hAnsi="Times New Roman" w:cs="Times New Roman"/>
      <w:sz w:val="18"/>
      <w:szCs w:val="18"/>
    </w:rPr>
  </w:style>
  <w:style w:type="character" w:customStyle="1" w:styleId="24">
    <w:name w:val="Header Char"/>
    <w:basedOn w:val="14"/>
    <w:link w:val="9"/>
    <w:semiHidden/>
    <w:qFormat/>
    <w:locked/>
    <w:uiPriority w:val="99"/>
    <w:rPr>
      <w:rFonts w:ascii="Times New Roman" w:hAnsi="Times New Roman" w:cs="Times New Roman"/>
      <w:sz w:val="18"/>
      <w:szCs w:val="18"/>
    </w:rPr>
  </w:style>
  <w:style w:type="character" w:customStyle="1" w:styleId="25">
    <w:name w:val="Header Char1"/>
    <w:link w:val="9"/>
    <w:semiHidden/>
    <w:qFormat/>
    <w:locked/>
    <w:uiPriority w:val="99"/>
    <w:rPr>
      <w:sz w:val="18"/>
    </w:rPr>
  </w:style>
  <w:style w:type="character" w:customStyle="1" w:styleId="26">
    <w:name w:val="Footer Char1"/>
    <w:link w:val="8"/>
    <w:qFormat/>
    <w:locked/>
    <w:uiPriority w:val="99"/>
    <w:rPr>
      <w:sz w:val="18"/>
    </w:rPr>
  </w:style>
  <w:style w:type="character" w:customStyle="1" w:styleId="27">
    <w:name w:val="Body Text Char1"/>
    <w:link w:val="5"/>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9">
    <w:name w:val="List Paragraph"/>
    <w:basedOn w:val="1"/>
    <w:qFormat/>
    <w:uiPriority w:val="99"/>
    <w:pPr>
      <w:ind w:firstLine="420" w:firstLineChars="200"/>
    </w:pPr>
  </w:style>
  <w:style w:type="paragraph" w:customStyle="1" w:styleId="30">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1">
    <w:name w:val="Balloon Text Char"/>
    <w:basedOn w:val="14"/>
    <w:link w:val="7"/>
    <w:semiHidden/>
    <w:qFormat/>
    <w:locked/>
    <w:uiPriority w:val="99"/>
    <w:rPr>
      <w:rFonts w:ascii="Times New Roman" w:hAnsi="Times New Roman" w:cs="Times New Roman"/>
      <w:kern w:val="2"/>
      <w:sz w:val="18"/>
      <w:szCs w:val="18"/>
    </w:rPr>
  </w:style>
  <w:style w:type="character" w:customStyle="1" w:styleId="32">
    <w:name w:val="on"/>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22</Pages>
  <Words>1314</Words>
  <Characters>7491</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2019-08-01T00:48:00Z</cp:lastPrinted>
  <dcterms:modified xsi:type="dcterms:W3CDTF">2019-09-26T07:03:30Z</dcterms:modified>
  <dc:title>四川省***</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