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center"/>
        <w:rPr>
          <w:rFonts w:eastAsia="方正小标宋简体"/>
          <w:sz w:val="44"/>
          <w:szCs w:val="44"/>
        </w:rPr>
      </w:pPr>
      <w:bookmarkStart w:id="0" w:name="_GoBack"/>
      <w:r>
        <w:rPr>
          <w:rFonts w:hint="eastAsia" w:eastAsia="方正小标宋简体"/>
          <w:sz w:val="44"/>
          <w:szCs w:val="44"/>
        </w:rPr>
        <w:t>市县国土空间开发保护现状评估</w:t>
      </w:r>
    </w:p>
    <w:p>
      <w:pPr>
        <w:adjustRightInd w:val="0"/>
        <w:snapToGrid w:val="0"/>
        <w:spacing w:line="560" w:lineRule="exact"/>
        <w:jc w:val="center"/>
        <w:textAlignment w:val="baseline"/>
        <w:rPr>
          <w:rFonts w:hint="eastAsia"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先行先试探索分享（绵阳篇）</w:t>
      </w:r>
    </w:p>
    <w:bookmarkEnd w:id="0"/>
    <w:p>
      <w:pPr>
        <w:adjustRightInd w:val="0"/>
        <w:snapToGrid w:val="0"/>
        <w:spacing w:line="560" w:lineRule="exact"/>
        <w:jc w:val="center"/>
        <w:textAlignment w:val="baseline"/>
        <w:rPr>
          <w:rFonts w:eastAsia="方正小标宋简体"/>
          <w:sz w:val="44"/>
          <w:szCs w:val="44"/>
        </w:rPr>
      </w:pPr>
    </w:p>
    <w:p>
      <w:pPr>
        <w:spacing w:line="360" w:lineRule="auto"/>
        <w:ind w:firstLine="560" w:firstLineChars="200"/>
        <w:rPr>
          <w:rFonts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t>一、评估重点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绵阳市将如何协调好国土空间高水平保护、高质量发展的国家要求与提升城市经济活力等地方诉求间的关系，作为审视国土空间开发保护现状的重要出发点。评估工作中，结合国家要求和绵阳使命，以高质量发展为目标，通过“安全、创新、协调、绿色、开放、共享”六个维度审视全局。以量化指标体系为主要抓手，结合“多规”核心内容和城乡治理工作重点，开展全方位多角度的分项对标，在解决问题和发挥优势的双重导向下，对城市发展现状与自然资源的开发保护情况形成全面、科学的分析。建立起发展理念与规划落实之间的高度对应关系，为新一轮国土空间规划解决问题提出对策。</w:t>
      </w:r>
    </w:p>
    <w:p>
      <w:pPr>
        <w:spacing w:line="360" w:lineRule="auto"/>
        <w:ind w:firstLine="480" w:firstLineChars="200"/>
        <w:jc w:val="left"/>
        <w:rPr>
          <w:rFonts w:eastAsia="仿宋"/>
          <w:sz w:val="24"/>
        </w:rPr>
      </w:pPr>
      <w:r>
        <w:rPr>
          <w:rFonts w:eastAsia="仿宋"/>
          <w:sz w:val="24"/>
        </w:rPr>
        <w:t xml:space="preserve"> 评估指标体系构建过程中，立足建设中国（</w:t>
      </w:r>
      <w:r>
        <w:rPr>
          <w:rFonts w:hint="eastAsia" w:eastAsia="仿宋"/>
          <w:sz w:val="24"/>
        </w:rPr>
        <w:t>绵阳</w:t>
      </w:r>
      <w:r>
        <w:rPr>
          <w:rFonts w:eastAsia="仿宋"/>
          <w:sz w:val="24"/>
        </w:rPr>
        <w:t>）</w:t>
      </w:r>
      <w:r>
        <w:rPr>
          <w:rFonts w:hint="eastAsia" w:eastAsia="仿宋"/>
          <w:sz w:val="24"/>
        </w:rPr>
        <w:t>科技城的</w:t>
      </w:r>
      <w:r>
        <w:rPr>
          <w:rFonts w:eastAsia="仿宋"/>
          <w:sz w:val="24"/>
        </w:rPr>
        <w:t>特色目标，</w:t>
      </w:r>
      <w:r>
        <w:rPr>
          <w:rFonts w:hint="eastAsia" w:eastAsia="仿宋"/>
          <w:sz w:val="24"/>
        </w:rPr>
        <w:t>提出</w:t>
      </w:r>
      <w:r>
        <w:rPr>
          <w:rFonts w:eastAsia="仿宋"/>
          <w:sz w:val="24"/>
        </w:rPr>
        <w:t>“</w:t>
      </w:r>
      <w:r>
        <w:rPr>
          <w:rFonts w:hint="eastAsia" w:eastAsia="仿宋"/>
          <w:sz w:val="24"/>
        </w:rPr>
        <w:t>军民结合产业产值”、“转移转化科技成果数量”、“孵化平台面积”、“企业专利申请量”等特色指标，用于评估科技创新推动经济发展的成效</w:t>
      </w:r>
      <w:r>
        <w:rPr>
          <w:rFonts w:eastAsia="仿宋"/>
          <w:sz w:val="24"/>
        </w:rPr>
        <w:t>与问题</w:t>
      </w:r>
      <w:r>
        <w:rPr>
          <w:rFonts w:hint="eastAsia" w:eastAsia="仿宋"/>
          <w:sz w:val="24"/>
        </w:rPr>
        <w:t>。针对市域均值与市区水平差距较大（如城乡协调</w:t>
      </w:r>
      <w:r>
        <w:rPr>
          <w:rFonts w:eastAsia="仿宋"/>
          <w:sz w:val="24"/>
        </w:rPr>
        <w:t>类、</w:t>
      </w:r>
      <w:r>
        <w:rPr>
          <w:rFonts w:hint="eastAsia" w:eastAsia="仿宋"/>
          <w:sz w:val="24"/>
        </w:rPr>
        <w:t>绿色</w:t>
      </w:r>
      <w:r>
        <w:rPr>
          <w:rFonts w:eastAsia="仿宋"/>
          <w:sz w:val="24"/>
        </w:rPr>
        <w:t>生产效率类</w:t>
      </w:r>
      <w:r>
        <w:rPr>
          <w:rFonts w:hint="eastAsia" w:eastAsia="仿宋"/>
          <w:sz w:val="24"/>
        </w:rPr>
        <w:t>）</w:t>
      </w:r>
      <w:r>
        <w:rPr>
          <w:rFonts w:eastAsia="仿宋"/>
          <w:sz w:val="24"/>
        </w:rPr>
        <w:t>的</w:t>
      </w:r>
      <w:r>
        <w:rPr>
          <w:rFonts w:hint="eastAsia" w:eastAsia="仿宋"/>
          <w:sz w:val="24"/>
        </w:rPr>
        <w:t>实际情况</w:t>
      </w:r>
      <w:r>
        <w:rPr>
          <w:rFonts w:eastAsia="仿宋"/>
          <w:sz w:val="24"/>
        </w:rPr>
        <w:t>，</w:t>
      </w:r>
      <w:r>
        <w:rPr>
          <w:rFonts w:hint="eastAsia" w:eastAsia="仿宋"/>
          <w:sz w:val="24"/>
        </w:rPr>
        <w:t>绵阳在总体评估</w:t>
      </w:r>
      <w:r>
        <w:rPr>
          <w:rFonts w:eastAsia="仿宋"/>
          <w:sz w:val="24"/>
        </w:rPr>
        <w:t>的基础上，</w:t>
      </w:r>
      <w:r>
        <w:rPr>
          <w:rFonts w:hint="eastAsia" w:eastAsia="仿宋"/>
          <w:sz w:val="24"/>
        </w:rPr>
        <w:t>增加对区县细分指标的研究，深入认识绵阳资源利用的效率水平，并为下阶段的整体格局、国土</w:t>
      </w:r>
      <w:r>
        <w:rPr>
          <w:rFonts w:eastAsia="仿宋"/>
          <w:sz w:val="24"/>
        </w:rPr>
        <w:t>空间规划</w:t>
      </w:r>
      <w:r>
        <w:rPr>
          <w:rFonts w:hint="eastAsia" w:eastAsia="仿宋"/>
          <w:sz w:val="24"/>
        </w:rPr>
        <w:t>提供依据。</w:t>
      </w:r>
    </w:p>
    <w:p>
      <w:pPr>
        <w:spacing w:line="360" w:lineRule="auto"/>
        <w:rPr>
          <w:sz w:val="28"/>
        </w:rPr>
      </w:pPr>
      <w:r>
        <w:drawing>
          <wp:inline distT="0" distB="0" distL="114300" distR="114300">
            <wp:extent cx="5273675" cy="2404745"/>
            <wp:effectExtent l="0" t="0" r="317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eastAsia="楷体"/>
          <w:szCs w:val="21"/>
        </w:rPr>
      </w:pPr>
      <w:r>
        <w:rPr>
          <w:rFonts w:hint="eastAsia" w:eastAsia="楷体"/>
          <w:szCs w:val="21"/>
        </w:rPr>
        <w:t>图 国土空间开发保护现状评估技术路线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4064635" cy="4010660"/>
            <wp:effectExtent l="0" t="0" r="12065" b="8890"/>
            <wp:docPr id="2" name="图片 2" descr="b3055dbeea6121d7dbf42d99e3fb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055dbeea6121d7dbf42d99e3fbc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rPr>
          <w:rFonts w:hint="eastAsia" w:eastAsia="楷体"/>
          <w:szCs w:val="21"/>
        </w:rPr>
        <w:t>图 “六个维度”指标体系</w:t>
      </w:r>
    </w:p>
    <w:p>
      <w:pPr>
        <w:pStyle w:val="2"/>
        <w:adjustRightInd w:val="0"/>
        <w:snapToGrid w:val="0"/>
        <w:spacing w:before="156" w:beforeLines="50" w:beforeAutospacing="0" w:after="156" w:afterLines="50" w:afterAutospacing="0" w:line="560" w:lineRule="exact"/>
        <w:rPr>
          <w:rFonts w:ascii="Times New Roman" w:hAnsi="Times New Roman" w:eastAsia="黑体" w:cs="Times New Roman"/>
          <w:b w:val="0"/>
          <w:bCs w:val="0"/>
          <w:sz w:val="28"/>
          <w:szCs w:val="28"/>
        </w:rPr>
      </w:pPr>
      <w:r>
        <w:rPr>
          <w:rFonts w:hint="eastAsia" w:ascii="Times New Roman" w:hAnsi="Times New Roman" w:eastAsia="黑体" w:cs="Times New Roman"/>
          <w:b w:val="0"/>
          <w:bCs w:val="0"/>
          <w:sz w:val="28"/>
          <w:szCs w:val="28"/>
        </w:rPr>
        <w:t>二、工作特色</w:t>
      </w:r>
    </w:p>
    <w:p>
      <w:pPr>
        <w:pStyle w:val="3"/>
        <w:spacing w:before="0" w:after="0" w:line="360" w:lineRule="auto"/>
        <w:ind w:firstLine="560" w:firstLineChars="200"/>
        <w:rPr>
          <w:rFonts w:ascii="Times New Roman" w:hAnsi="Times New Roman" w:eastAsia="楷体"/>
          <w:b w:val="0"/>
          <w:bCs w:val="0"/>
          <w:sz w:val="28"/>
        </w:rPr>
      </w:pPr>
      <w:r>
        <w:rPr>
          <w:rFonts w:hint="eastAsia" w:ascii="Times New Roman" w:hAnsi="Times New Roman" w:eastAsia="楷体"/>
          <w:b w:val="0"/>
          <w:bCs w:val="0"/>
          <w:sz w:val="28"/>
        </w:rPr>
        <w:t>（一）建立数据采集的工作组织与验证机制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本次</w:t>
      </w:r>
      <w:r>
        <w:rPr>
          <w:rFonts w:eastAsia="仿宋"/>
          <w:sz w:val="24"/>
        </w:rPr>
        <w:t>评估数据的</w:t>
      </w:r>
      <w:r>
        <w:rPr>
          <w:rFonts w:hint="eastAsia" w:eastAsia="仿宋"/>
          <w:sz w:val="24"/>
        </w:rPr>
        <w:t>收集</w:t>
      </w:r>
      <w:r>
        <w:rPr>
          <w:rFonts w:eastAsia="仿宋"/>
          <w:sz w:val="24"/>
        </w:rPr>
        <w:t>工作，</w:t>
      </w:r>
      <w:r>
        <w:rPr>
          <w:rFonts w:hint="eastAsia" w:eastAsia="仿宋"/>
          <w:sz w:val="24"/>
        </w:rPr>
        <w:t>由绵阳市自然资源和规划局与编制单位共同牵头，与统计、发改、科技、公安、住建、教体等多部门协同开展工作。依据市直各部门职能分工，明确具体指标项的责任单位，以座谈、问卷、信函等形式，收集数据资料。</w:t>
      </w:r>
    </w:p>
    <w:p>
      <w:pPr>
        <w:spacing w:line="360" w:lineRule="auto"/>
        <w:jc w:val="center"/>
        <w:rPr>
          <w:color w:val="000000"/>
          <w:sz w:val="28"/>
        </w:rPr>
      </w:pPr>
      <w:r>
        <w:rPr>
          <w:color w:val="000000"/>
          <w:sz w:val="28"/>
        </w:rPr>
        <w:drawing>
          <wp:inline distT="0" distB="0" distL="114300" distR="114300">
            <wp:extent cx="3408045" cy="1932940"/>
            <wp:effectExtent l="0" t="0" r="1905" b="10160"/>
            <wp:docPr id="3" name="图片 3" descr="77f3ebdec3b66d5e3768e9477026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f3ebdec3b66d5e3768e9477026e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jc w:val="center"/>
        <w:rPr>
          <w:rFonts w:eastAsia="楷体"/>
          <w:szCs w:val="21"/>
        </w:rPr>
      </w:pPr>
      <w:r>
        <w:rPr>
          <w:rFonts w:hint="eastAsia" w:eastAsia="楷体"/>
          <w:szCs w:val="21"/>
        </w:rPr>
        <w:t>图 评估工作指标数据收集组织方式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为保障数据</w:t>
      </w:r>
      <w:r>
        <w:rPr>
          <w:rFonts w:eastAsia="仿宋"/>
          <w:sz w:val="24"/>
        </w:rPr>
        <w:t>的准确性和</w:t>
      </w:r>
      <w:r>
        <w:rPr>
          <w:rFonts w:hint="eastAsia" w:eastAsia="仿宋"/>
          <w:sz w:val="24"/>
        </w:rPr>
        <w:t>可靠性</w:t>
      </w:r>
      <w:r>
        <w:rPr>
          <w:rFonts w:eastAsia="仿宋"/>
          <w:sz w:val="24"/>
        </w:rPr>
        <w:t>，</w:t>
      </w:r>
      <w:r>
        <w:rPr>
          <w:rFonts w:hint="eastAsia" w:eastAsia="仿宋"/>
          <w:sz w:val="24"/>
        </w:rPr>
        <w:t>牵头部门</w:t>
      </w:r>
      <w:r>
        <w:rPr>
          <w:rFonts w:eastAsia="仿宋"/>
          <w:sz w:val="24"/>
        </w:rPr>
        <w:t>与协作部门之间建立了数据二次</w:t>
      </w:r>
      <w:r>
        <w:rPr>
          <w:rFonts w:hint="eastAsia" w:eastAsia="仿宋"/>
          <w:sz w:val="24"/>
        </w:rPr>
        <w:t>校核</w:t>
      </w:r>
      <w:r>
        <w:rPr>
          <w:rFonts w:eastAsia="仿宋"/>
          <w:sz w:val="24"/>
        </w:rPr>
        <w:t>的工作机制。</w:t>
      </w:r>
      <w:r>
        <w:rPr>
          <w:rFonts w:hint="eastAsia" w:eastAsia="仿宋"/>
          <w:sz w:val="24"/>
        </w:rPr>
        <w:t>各协作部门</w:t>
      </w:r>
      <w:r>
        <w:rPr>
          <w:rFonts w:eastAsia="仿宋"/>
          <w:sz w:val="24"/>
        </w:rPr>
        <w:t>在</w:t>
      </w:r>
      <w:r>
        <w:rPr>
          <w:rFonts w:hint="eastAsia" w:eastAsia="仿宋"/>
          <w:sz w:val="24"/>
        </w:rPr>
        <w:t>数据录入时应注明来源，缺项</w:t>
      </w:r>
      <w:r>
        <w:rPr>
          <w:rFonts w:eastAsia="仿宋"/>
          <w:sz w:val="24"/>
        </w:rPr>
        <w:t>数据因</w:t>
      </w:r>
      <w:r>
        <w:rPr>
          <w:rFonts w:hint="eastAsia" w:eastAsia="仿宋"/>
          <w:sz w:val="24"/>
        </w:rPr>
        <w:t>应</w:t>
      </w:r>
      <w:r>
        <w:rPr>
          <w:rFonts w:eastAsia="仿宋"/>
          <w:sz w:val="24"/>
        </w:rPr>
        <w:t>注明</w:t>
      </w:r>
      <w:r>
        <w:rPr>
          <w:rFonts w:hint="eastAsia" w:eastAsia="仿宋"/>
          <w:sz w:val="24"/>
        </w:rPr>
        <w:t>缺项原因。牵头部门完成阶段性</w:t>
      </w:r>
      <w:r>
        <w:rPr>
          <w:rFonts w:eastAsia="仿宋"/>
          <w:sz w:val="24"/>
        </w:rPr>
        <w:t>的指标体系</w:t>
      </w:r>
      <w:r>
        <w:rPr>
          <w:rFonts w:hint="eastAsia" w:eastAsia="仿宋"/>
          <w:sz w:val="24"/>
        </w:rPr>
        <w:t>汇总后，应及时发各协同部门进行数据二次校核与补充，最终形成完整的指标体系汇总表。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针对</w:t>
      </w:r>
      <w:r>
        <w:rPr>
          <w:rFonts w:eastAsia="仿宋"/>
          <w:sz w:val="24"/>
        </w:rPr>
        <w:t>不同口径</w:t>
      </w:r>
      <w:r>
        <w:rPr>
          <w:rFonts w:hint="eastAsia" w:eastAsia="仿宋"/>
          <w:sz w:val="24"/>
        </w:rPr>
        <w:t>来源</w:t>
      </w:r>
      <w:r>
        <w:rPr>
          <w:rFonts w:eastAsia="仿宋"/>
          <w:sz w:val="24"/>
        </w:rPr>
        <w:t>的同一指标，</w:t>
      </w:r>
      <w:r>
        <w:rPr>
          <w:rFonts w:hint="eastAsia" w:eastAsia="仿宋"/>
          <w:sz w:val="24"/>
        </w:rPr>
        <w:t>建立数据</w:t>
      </w:r>
      <w:r>
        <w:rPr>
          <w:rFonts w:eastAsia="仿宋"/>
          <w:sz w:val="24"/>
        </w:rPr>
        <w:t>优选</w:t>
      </w:r>
      <w:r>
        <w:rPr>
          <w:rFonts w:hint="eastAsia" w:eastAsia="仿宋"/>
          <w:sz w:val="24"/>
        </w:rPr>
        <w:t>三项</w:t>
      </w:r>
      <w:r>
        <w:rPr>
          <w:rFonts w:eastAsia="仿宋"/>
          <w:sz w:val="24"/>
        </w:rPr>
        <w:t>原则</w:t>
      </w:r>
      <w:r>
        <w:rPr>
          <w:rFonts w:hint="eastAsia" w:eastAsia="仿宋"/>
          <w:sz w:val="24"/>
        </w:rPr>
        <w:t>，即多年序列数据优于单一年份</w:t>
      </w:r>
      <w:r>
        <w:rPr>
          <w:rFonts w:eastAsia="仿宋"/>
          <w:sz w:val="24"/>
        </w:rPr>
        <w:t>的</w:t>
      </w:r>
      <w:r>
        <w:rPr>
          <w:rFonts w:hint="eastAsia" w:eastAsia="仿宋"/>
          <w:sz w:val="24"/>
        </w:rPr>
        <w:t>数据、口径明确的</w:t>
      </w:r>
      <w:r>
        <w:rPr>
          <w:rFonts w:eastAsia="仿宋"/>
          <w:sz w:val="24"/>
        </w:rPr>
        <w:t>数据</w:t>
      </w:r>
      <w:r>
        <w:rPr>
          <w:rFonts w:hint="eastAsia" w:eastAsia="仿宋"/>
          <w:sz w:val="24"/>
        </w:rPr>
        <w:t>优先于口径宽泛的</w:t>
      </w:r>
      <w:r>
        <w:rPr>
          <w:rFonts w:eastAsia="仿宋"/>
          <w:sz w:val="24"/>
        </w:rPr>
        <w:t>数据</w:t>
      </w:r>
      <w:r>
        <w:rPr>
          <w:rFonts w:hint="eastAsia" w:eastAsia="仿宋"/>
          <w:sz w:val="24"/>
        </w:rPr>
        <w:t>、直接责任部门的</w:t>
      </w:r>
      <w:r>
        <w:rPr>
          <w:rFonts w:eastAsia="仿宋"/>
          <w:sz w:val="24"/>
        </w:rPr>
        <w:t>数据</w:t>
      </w:r>
      <w:r>
        <w:rPr>
          <w:rFonts w:hint="eastAsia" w:eastAsia="仿宋"/>
          <w:sz w:val="24"/>
        </w:rPr>
        <w:t>优于间接责任部门。</w:t>
      </w:r>
    </w:p>
    <w:p>
      <w:pPr>
        <w:spacing w:line="360" w:lineRule="auto"/>
        <w:jc w:val="center"/>
        <w:rPr>
          <w:color w:val="000000"/>
          <w:sz w:val="28"/>
        </w:rPr>
      </w:pPr>
      <w:r>
        <w:rPr>
          <w:color w:val="000000"/>
          <w:sz w:val="28"/>
        </w:rPr>
        <w:drawing>
          <wp:inline distT="0" distB="0" distL="114300" distR="114300">
            <wp:extent cx="4260215" cy="1656080"/>
            <wp:effectExtent l="0" t="0" r="6985" b="1270"/>
            <wp:docPr id="4" name="图片 4" descr="258909859b1186f8adc9f56208b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8909859b1186f8adc9f56208b17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rPr>
          <w:rFonts w:hint="eastAsia" w:eastAsia="楷体"/>
          <w:szCs w:val="21"/>
        </w:rPr>
        <w:t>图 指标数据收集工作过程展示</w:t>
      </w:r>
    </w:p>
    <w:p>
      <w:pPr>
        <w:pStyle w:val="3"/>
        <w:spacing w:before="0" w:after="0" w:line="360" w:lineRule="auto"/>
        <w:ind w:firstLine="560" w:firstLineChars="200"/>
        <w:rPr>
          <w:rFonts w:ascii="Times New Roman" w:hAnsi="Times New Roman" w:eastAsia="楷体"/>
          <w:b w:val="0"/>
          <w:bCs w:val="0"/>
          <w:sz w:val="28"/>
        </w:rPr>
      </w:pPr>
      <w:r>
        <w:rPr>
          <w:rFonts w:hint="eastAsia" w:ascii="Times New Roman" w:hAnsi="Times New Roman" w:eastAsia="楷体"/>
          <w:b w:val="0"/>
          <w:bCs w:val="0"/>
          <w:sz w:val="28"/>
        </w:rPr>
        <w:t>（二）构建“总体目标引导—差距与问题剖析—国土空间规划响应方向”的从评估到规划的“导入”体系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本次评估按照有利于空间规划编制和实施的原则，构建“总体目标引导—差距与问题剖析—国土空间规划响应方向”的从评估到规划的“导入”体系。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总体目标引导以</w:t>
      </w:r>
      <w:r>
        <w:rPr>
          <w:rFonts w:eastAsia="仿宋"/>
          <w:b/>
          <w:bCs/>
          <w:sz w:val="24"/>
        </w:rPr>
        <w:t>落实</w:t>
      </w:r>
      <w:r>
        <w:rPr>
          <w:rFonts w:hint="eastAsia" w:eastAsia="仿宋"/>
          <w:b/>
          <w:bCs/>
          <w:sz w:val="24"/>
        </w:rPr>
        <w:t>贯彻新理念、新要求为</w:t>
      </w:r>
      <w:r>
        <w:rPr>
          <w:rFonts w:eastAsia="仿宋"/>
          <w:b/>
          <w:bCs/>
          <w:sz w:val="24"/>
        </w:rPr>
        <w:t>目的</w:t>
      </w:r>
      <w:r>
        <w:rPr>
          <w:rFonts w:eastAsia="仿宋"/>
          <w:sz w:val="24"/>
        </w:rPr>
        <w:t>，</w:t>
      </w:r>
      <w:r>
        <w:rPr>
          <w:rFonts w:hint="eastAsia" w:eastAsia="仿宋"/>
          <w:sz w:val="24"/>
        </w:rPr>
        <w:t>通过评估城市发展质量，发掘</w:t>
      </w:r>
      <w:r>
        <w:rPr>
          <w:rFonts w:eastAsia="仿宋"/>
          <w:sz w:val="24"/>
        </w:rPr>
        <w:t>自身</w:t>
      </w:r>
      <w:r>
        <w:rPr>
          <w:rFonts w:hint="eastAsia" w:eastAsia="仿宋"/>
          <w:sz w:val="24"/>
        </w:rPr>
        <w:t>优势</w:t>
      </w:r>
      <w:r>
        <w:rPr>
          <w:rFonts w:eastAsia="仿宋"/>
          <w:sz w:val="24"/>
        </w:rPr>
        <w:t>，</w:t>
      </w:r>
      <w:r>
        <w:rPr>
          <w:rFonts w:hint="eastAsia" w:eastAsia="仿宋"/>
          <w:sz w:val="24"/>
        </w:rPr>
        <w:t>发现</w:t>
      </w:r>
      <w:r>
        <w:rPr>
          <w:rFonts w:eastAsia="仿宋"/>
          <w:sz w:val="24"/>
        </w:rPr>
        <w:t>核心问题</w:t>
      </w:r>
      <w:r>
        <w:rPr>
          <w:rFonts w:hint="eastAsia" w:eastAsia="仿宋"/>
          <w:sz w:val="24"/>
        </w:rPr>
        <w:t>并剖析</w:t>
      </w:r>
      <w:r>
        <w:rPr>
          <w:rFonts w:eastAsia="仿宋"/>
          <w:sz w:val="24"/>
        </w:rPr>
        <w:t>成因</w:t>
      </w:r>
      <w:r>
        <w:rPr>
          <w:rFonts w:hint="eastAsia" w:eastAsia="仿宋"/>
          <w:sz w:val="24"/>
        </w:rPr>
        <w:t>，为绵阳</w:t>
      </w:r>
      <w:r>
        <w:rPr>
          <w:rFonts w:eastAsia="仿宋"/>
          <w:sz w:val="24"/>
        </w:rPr>
        <w:t>发挥优势</w:t>
      </w:r>
      <w:r>
        <w:rPr>
          <w:rFonts w:hint="eastAsia" w:eastAsia="仿宋"/>
          <w:sz w:val="24"/>
        </w:rPr>
        <w:t>并解决核心问题指明方向</w:t>
      </w:r>
      <w:r>
        <w:rPr>
          <w:rFonts w:eastAsia="仿宋"/>
          <w:sz w:val="24"/>
        </w:rPr>
        <w:t>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差距与问题的剖析以厘清国土空间</w:t>
      </w:r>
      <w:r>
        <w:rPr>
          <w:rFonts w:eastAsia="仿宋"/>
          <w:b/>
          <w:bCs/>
          <w:sz w:val="24"/>
        </w:rPr>
        <w:t>开发保护的现状</w:t>
      </w:r>
      <w:r>
        <w:rPr>
          <w:rFonts w:hint="eastAsia" w:eastAsia="仿宋"/>
          <w:b/>
          <w:bCs/>
          <w:sz w:val="24"/>
        </w:rPr>
        <w:t>为重点</w:t>
      </w:r>
      <w:r>
        <w:rPr>
          <w:rFonts w:hint="eastAsia" w:eastAsia="仿宋"/>
          <w:sz w:val="24"/>
        </w:rPr>
        <w:t>，一方面基于各项指标的</w:t>
      </w:r>
      <w:r>
        <w:rPr>
          <w:rFonts w:eastAsia="仿宋"/>
          <w:sz w:val="24"/>
        </w:rPr>
        <w:t>评估</w:t>
      </w:r>
      <w:r>
        <w:rPr>
          <w:rFonts w:hint="eastAsia" w:eastAsia="仿宋"/>
          <w:sz w:val="24"/>
        </w:rPr>
        <w:t>和</w:t>
      </w:r>
      <w:r>
        <w:rPr>
          <w:rFonts w:eastAsia="仿宋"/>
          <w:sz w:val="24"/>
        </w:rPr>
        <w:t>对标，</w:t>
      </w:r>
      <w:r>
        <w:rPr>
          <w:rFonts w:hint="eastAsia" w:eastAsia="仿宋"/>
          <w:sz w:val="24"/>
        </w:rPr>
        <w:t>发现</w:t>
      </w:r>
      <w:r>
        <w:rPr>
          <w:rFonts w:eastAsia="仿宋"/>
          <w:sz w:val="24"/>
        </w:rPr>
        <w:t>绵阳</w:t>
      </w:r>
      <w:r>
        <w:rPr>
          <w:rFonts w:hint="eastAsia" w:eastAsia="仿宋"/>
          <w:sz w:val="24"/>
        </w:rPr>
        <w:t>发展的</w:t>
      </w:r>
      <w:r>
        <w:rPr>
          <w:rFonts w:eastAsia="仿宋"/>
          <w:sz w:val="24"/>
        </w:rPr>
        <w:t>主要短板</w:t>
      </w:r>
      <w:r>
        <w:rPr>
          <w:rFonts w:hint="eastAsia" w:eastAsia="仿宋"/>
          <w:sz w:val="24"/>
        </w:rPr>
        <w:t>；</w:t>
      </w:r>
      <w:r>
        <w:rPr>
          <w:rFonts w:eastAsia="仿宋"/>
          <w:sz w:val="24"/>
        </w:rPr>
        <w:t>另一方面，</w:t>
      </w:r>
      <w:r>
        <w:rPr>
          <w:rFonts w:hint="eastAsia" w:eastAsia="仿宋"/>
          <w:sz w:val="24"/>
        </w:rPr>
        <w:t>通过部门</w:t>
      </w:r>
      <w:r>
        <w:rPr>
          <w:rFonts w:eastAsia="仿宋"/>
          <w:sz w:val="24"/>
        </w:rPr>
        <w:t>对接，</w:t>
      </w:r>
      <w:r>
        <w:rPr>
          <w:rFonts w:hint="eastAsia" w:eastAsia="仿宋"/>
          <w:sz w:val="24"/>
        </w:rPr>
        <w:t>理顺发改、住建、交通运输、生态环保、水利等部门</w:t>
      </w:r>
      <w:r>
        <w:rPr>
          <w:rFonts w:eastAsia="仿宋"/>
          <w:sz w:val="24"/>
        </w:rPr>
        <w:t>的规划</w:t>
      </w:r>
      <w:r>
        <w:rPr>
          <w:rFonts w:hint="eastAsia" w:eastAsia="仿宋"/>
          <w:sz w:val="24"/>
        </w:rPr>
        <w:t>、</w:t>
      </w:r>
      <w:r>
        <w:rPr>
          <w:rFonts w:eastAsia="仿宋"/>
          <w:sz w:val="24"/>
        </w:rPr>
        <w:t>统计、监测体系</w:t>
      </w:r>
      <w:r>
        <w:rPr>
          <w:rFonts w:hint="eastAsia" w:eastAsia="仿宋"/>
          <w:sz w:val="24"/>
        </w:rPr>
        <w:t>，</w:t>
      </w:r>
      <w:r>
        <w:rPr>
          <w:rFonts w:eastAsia="仿宋"/>
          <w:sz w:val="24"/>
        </w:rPr>
        <w:t>重点</w:t>
      </w:r>
      <w:r>
        <w:rPr>
          <w:rFonts w:hint="eastAsia" w:eastAsia="仿宋"/>
          <w:sz w:val="24"/>
        </w:rPr>
        <w:t>对现行主体功能区规划、城市总体规划和土地利用总体规划等规划进行评估分析，进而识别各类安全隐患和重点整治目标，与国土空间规划的“底线管控”内容实现衔接。</w:t>
      </w:r>
    </w:p>
    <w:p>
      <w:pPr>
        <w:spacing w:line="360" w:lineRule="auto"/>
        <w:ind w:firstLine="482" w:firstLineChars="200"/>
        <w:rPr>
          <w:sz w:val="24"/>
        </w:rPr>
      </w:pPr>
      <w:r>
        <w:rPr>
          <w:rFonts w:hint="eastAsia" w:eastAsia="仿宋"/>
          <w:b/>
          <w:bCs/>
          <w:sz w:val="24"/>
        </w:rPr>
        <w:t>国土空间规划响应方向的</w:t>
      </w:r>
      <w:r>
        <w:rPr>
          <w:rFonts w:eastAsia="仿宋"/>
          <w:b/>
          <w:bCs/>
          <w:sz w:val="24"/>
        </w:rPr>
        <w:t>确定</w:t>
      </w:r>
      <w:r>
        <w:rPr>
          <w:rFonts w:hint="eastAsia" w:eastAsia="仿宋"/>
          <w:sz w:val="24"/>
        </w:rPr>
        <w:t>，</w:t>
      </w:r>
      <w:r>
        <w:rPr>
          <w:rFonts w:eastAsia="仿宋"/>
          <w:sz w:val="24"/>
        </w:rPr>
        <w:t>以</w:t>
      </w:r>
      <w:r>
        <w:rPr>
          <w:rFonts w:hint="eastAsia" w:eastAsia="仿宋"/>
          <w:sz w:val="24"/>
        </w:rPr>
        <w:t>现实</w:t>
      </w:r>
      <w:r>
        <w:rPr>
          <w:rFonts w:eastAsia="仿宋"/>
          <w:sz w:val="24"/>
        </w:rPr>
        <w:t>问题</w:t>
      </w:r>
      <w:r>
        <w:rPr>
          <w:rFonts w:hint="eastAsia" w:eastAsia="仿宋"/>
          <w:sz w:val="24"/>
        </w:rPr>
        <w:t>为</w:t>
      </w:r>
      <w:r>
        <w:rPr>
          <w:rFonts w:eastAsia="仿宋"/>
          <w:sz w:val="24"/>
        </w:rPr>
        <w:t>导向</w:t>
      </w:r>
      <w:r>
        <w:rPr>
          <w:rFonts w:hint="eastAsia" w:eastAsia="仿宋"/>
          <w:sz w:val="24"/>
        </w:rPr>
        <w:t>，从规划实效性、管理高效性等</w:t>
      </w:r>
      <w:r>
        <w:rPr>
          <w:rFonts w:eastAsia="仿宋"/>
          <w:sz w:val="24"/>
        </w:rPr>
        <w:t>方面，</w:t>
      </w:r>
      <w:r>
        <w:rPr>
          <w:rFonts w:hint="eastAsia" w:eastAsia="仿宋"/>
          <w:sz w:val="24"/>
        </w:rPr>
        <w:t>为制定国土空间高效利用目标和策略提供依据，为新一轮国土空间规划与部门“十四五”、专项规划的衔接打好基础，保障规划的协调功能，提高实施管理效率。</w:t>
      </w:r>
    </w:p>
    <w:p>
      <w:pPr>
        <w:pStyle w:val="3"/>
        <w:spacing w:before="0" w:after="0" w:line="360" w:lineRule="auto"/>
        <w:ind w:firstLine="560" w:firstLineChars="200"/>
        <w:rPr>
          <w:rFonts w:ascii="Times New Roman" w:hAnsi="Times New Roman" w:eastAsia="楷体"/>
          <w:b w:val="0"/>
          <w:bCs w:val="0"/>
          <w:sz w:val="28"/>
        </w:rPr>
      </w:pPr>
      <w:r>
        <w:rPr>
          <w:rFonts w:hint="eastAsia" w:ascii="Times New Roman" w:hAnsi="Times New Roman" w:eastAsia="楷体"/>
          <w:b w:val="0"/>
          <w:bCs w:val="0"/>
          <w:sz w:val="28"/>
        </w:rPr>
        <w:t>（三）通过多标尺的分项对标，找准不同指标的差距与问题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在分析静态数据和动态趋势时，绵阳构建</w:t>
      </w:r>
      <w:r>
        <w:rPr>
          <w:rFonts w:eastAsia="仿宋"/>
          <w:sz w:val="24"/>
        </w:rPr>
        <w:t>多标尺的对标分析逻辑</w:t>
      </w:r>
      <w:r>
        <w:rPr>
          <w:rFonts w:hint="eastAsia" w:eastAsia="仿宋"/>
          <w:sz w:val="24"/>
        </w:rPr>
        <w:t>。根据指标值获取、指标评估、问题识别、成因分析和对策建议链条开展评估</w:t>
      </w:r>
      <w:r>
        <w:rPr>
          <w:rFonts w:eastAsia="仿宋"/>
          <w:sz w:val="24"/>
        </w:rPr>
        <w:t>。</w:t>
      </w:r>
      <w:r>
        <w:rPr>
          <w:rFonts w:hint="eastAsia" w:eastAsia="仿宋"/>
          <w:sz w:val="24"/>
        </w:rPr>
        <w:t>例如，</w:t>
      </w:r>
      <w:r>
        <w:rPr>
          <w:rFonts w:eastAsia="仿宋"/>
          <w:sz w:val="24"/>
        </w:rPr>
        <w:t>通过创新</w:t>
      </w:r>
      <w:r>
        <w:rPr>
          <w:rFonts w:hint="eastAsia" w:eastAsia="仿宋"/>
          <w:sz w:val="24"/>
        </w:rPr>
        <w:t>维度的对标</w:t>
      </w:r>
      <w:r>
        <w:rPr>
          <w:rFonts w:eastAsia="仿宋"/>
          <w:sz w:val="24"/>
        </w:rPr>
        <w:t>比较</w:t>
      </w:r>
      <w:r>
        <w:rPr>
          <w:rFonts w:hint="eastAsia" w:eastAsia="仿宋"/>
          <w:sz w:val="24"/>
        </w:rPr>
        <w:t>发现</w:t>
      </w:r>
      <w:r>
        <w:rPr>
          <w:rFonts w:eastAsia="仿宋"/>
          <w:sz w:val="24"/>
        </w:rPr>
        <w:t>，</w:t>
      </w:r>
      <w:r>
        <w:rPr>
          <w:rFonts w:hint="eastAsia" w:eastAsia="仿宋"/>
          <w:sz w:val="24"/>
        </w:rPr>
        <w:t>创新活力与环境等短板降低了科技创新对绵阳经济发展的拉动作用。</w:t>
      </w:r>
      <w:r>
        <w:rPr>
          <w:rFonts w:eastAsia="仿宋"/>
          <w:sz w:val="24"/>
        </w:rPr>
        <w:t>为此，</w:t>
      </w:r>
      <w:r>
        <w:rPr>
          <w:rFonts w:hint="eastAsia" w:eastAsia="仿宋"/>
          <w:sz w:val="24"/>
        </w:rPr>
        <w:t>本次</w:t>
      </w:r>
      <w:r>
        <w:rPr>
          <w:rFonts w:eastAsia="仿宋"/>
          <w:sz w:val="24"/>
        </w:rPr>
        <w:t>评估提出</w:t>
      </w:r>
      <w:r>
        <w:rPr>
          <w:rFonts w:hint="eastAsia" w:eastAsia="仿宋"/>
          <w:sz w:val="24"/>
        </w:rPr>
        <w:t>，</w:t>
      </w:r>
      <w:r>
        <w:rPr>
          <w:rFonts w:eastAsia="仿宋"/>
          <w:sz w:val="24"/>
        </w:rPr>
        <w:t>在后续空间规划中</w:t>
      </w:r>
      <w:r>
        <w:rPr>
          <w:rFonts w:hint="eastAsia" w:eastAsia="仿宋"/>
          <w:sz w:val="24"/>
        </w:rPr>
        <w:t>强化科技创新服务平台建设、提升科技城环境与服务等对策建议。</w:t>
      </w:r>
    </w:p>
    <w:p>
      <w:pPr>
        <w:spacing w:line="360" w:lineRule="auto"/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5270500" cy="1424305"/>
            <wp:effectExtent l="0" t="0" r="6350" b="4445"/>
            <wp:docPr id="5" name="图片 5" descr="5a04b8bedd22901402ccbb8b0842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04b8bedd22901402ccbb8b0842f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jc w:val="center"/>
        <w:rPr>
          <w:rFonts w:eastAsia="楷体"/>
          <w:szCs w:val="21"/>
        </w:rPr>
      </w:pPr>
      <w:r>
        <w:rPr>
          <w:rFonts w:hint="eastAsia" w:eastAsia="楷体"/>
          <w:szCs w:val="21"/>
        </w:rPr>
        <w:t>图 评估内容逻辑链条示意</w:t>
      </w:r>
    </w:p>
    <w:p>
      <w:pPr>
        <w:pStyle w:val="3"/>
        <w:spacing w:before="0" w:after="0" w:line="360" w:lineRule="auto"/>
        <w:ind w:firstLine="560" w:firstLineChars="200"/>
        <w:rPr>
          <w:rFonts w:ascii="Times New Roman" w:hAnsi="Times New Roman" w:eastAsia="楷体"/>
          <w:b w:val="0"/>
          <w:bCs w:val="0"/>
          <w:sz w:val="28"/>
        </w:rPr>
      </w:pPr>
      <w:r>
        <w:rPr>
          <w:rFonts w:hint="eastAsia" w:ascii="Times New Roman" w:hAnsi="Times New Roman" w:eastAsia="楷体"/>
          <w:b w:val="0"/>
          <w:bCs w:val="0"/>
          <w:sz w:val="28"/>
        </w:rPr>
        <w:t>（四）利用大数据的技术方法，深化空间指标的分析评估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充分利用大数据技术的</w:t>
      </w:r>
      <w:r>
        <w:rPr>
          <w:rFonts w:eastAsia="仿宋"/>
          <w:sz w:val="24"/>
        </w:rPr>
        <w:t>技术方法，对</w:t>
      </w:r>
      <w:r>
        <w:rPr>
          <w:rFonts w:hint="eastAsia" w:eastAsia="仿宋"/>
          <w:sz w:val="24"/>
        </w:rPr>
        <w:t>空间类指标</w:t>
      </w:r>
      <w:r>
        <w:rPr>
          <w:rFonts w:eastAsia="仿宋"/>
          <w:sz w:val="24"/>
        </w:rPr>
        <w:t>进行</w:t>
      </w:r>
      <w:r>
        <w:rPr>
          <w:rFonts w:hint="eastAsia" w:eastAsia="仿宋"/>
          <w:sz w:val="24"/>
        </w:rPr>
        <w:t>深入的</w:t>
      </w:r>
      <w:r>
        <w:rPr>
          <w:rFonts w:eastAsia="仿宋"/>
          <w:sz w:val="24"/>
        </w:rPr>
        <w:t>分析</w:t>
      </w:r>
      <w:r>
        <w:rPr>
          <w:rFonts w:hint="eastAsia" w:eastAsia="仿宋"/>
          <w:sz w:val="24"/>
        </w:rPr>
        <w:t>评估。一方面</w:t>
      </w:r>
      <w:r>
        <w:rPr>
          <w:rFonts w:eastAsia="仿宋"/>
          <w:sz w:val="24"/>
        </w:rPr>
        <w:t>，</w:t>
      </w:r>
      <w:r>
        <w:rPr>
          <w:rFonts w:hint="eastAsia" w:eastAsia="仿宋"/>
          <w:sz w:val="24"/>
        </w:rPr>
        <w:t>通过设施分布、人口迁徙、手机信令等大数据获取覆盖率、联系度等相关数据，与部门数据相互印证、校核，保证指标数据的科学性。另一方面，利用大数据对服务设施的供需关系、组团之间</w:t>
      </w:r>
      <w:r>
        <w:rPr>
          <w:rFonts w:eastAsia="仿宋"/>
          <w:sz w:val="24"/>
        </w:rPr>
        <w:t>的</w:t>
      </w:r>
      <w:r>
        <w:rPr>
          <w:rFonts w:hint="eastAsia" w:eastAsia="仿宋"/>
          <w:sz w:val="24"/>
        </w:rPr>
        <w:t>职住关系等进行详细评估，识别设施布局、职住平衡等空间问题，为国土空间规划开展空间结构优化打好基础。</w:t>
      </w:r>
    </w:p>
    <w:p>
      <w:pPr>
        <w:spacing w:line="360" w:lineRule="auto"/>
        <w:jc w:val="left"/>
        <w:rPr>
          <w:sz w:val="28"/>
        </w:rPr>
      </w:pPr>
      <w:r>
        <w:rPr>
          <w:sz w:val="28"/>
        </w:rPr>
        <w:drawing>
          <wp:inline distT="0" distB="0" distL="114300" distR="114300">
            <wp:extent cx="5273040" cy="2132330"/>
            <wp:effectExtent l="0" t="0" r="381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2"/>
          <w:szCs w:val="21"/>
        </w:rPr>
      </w:pPr>
      <w:r>
        <w:rPr>
          <w:rFonts w:hint="eastAsia" w:eastAsia="楷体"/>
          <w:szCs w:val="21"/>
        </w:rPr>
        <w:t>图 大数据初步分析成果：公共服务设施分布热力图（左）、百度迁徙数据分析（右）</w:t>
      </w:r>
    </w:p>
    <w:p>
      <w:pPr>
        <w:pStyle w:val="3"/>
        <w:spacing w:before="0" w:after="0" w:line="360" w:lineRule="auto"/>
        <w:ind w:firstLine="560" w:firstLineChars="200"/>
        <w:rPr>
          <w:rFonts w:ascii="Times New Roman" w:hAnsi="Times New Roman" w:eastAsia="楷体"/>
          <w:b w:val="0"/>
          <w:bCs w:val="0"/>
          <w:sz w:val="28"/>
        </w:rPr>
      </w:pPr>
      <w:r>
        <w:rPr>
          <w:rFonts w:hint="eastAsia" w:ascii="Times New Roman" w:hAnsi="Times New Roman" w:eastAsia="楷体"/>
          <w:b w:val="0"/>
          <w:bCs w:val="0"/>
          <w:sz w:val="28"/>
        </w:rPr>
        <w:t>（五）贯彻“以人为本”的思想，开展市民满意度调查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贯彻以人为本思想，开展“宜居、宜业、宜养、宜游”市民满意度调查工作，并作为“共享”维度评估的重要依据。</w:t>
      </w:r>
    </w:p>
    <w:p>
      <w:pPr>
        <w:spacing w:line="360" w:lineRule="auto"/>
        <w:jc w:val="left"/>
        <w:rPr>
          <w:sz w:val="22"/>
          <w:szCs w:val="21"/>
        </w:rPr>
      </w:pPr>
      <w:r>
        <w:rPr>
          <w:sz w:val="28"/>
        </w:rPr>
        <w:drawing>
          <wp:inline distT="0" distB="0" distL="114300" distR="114300">
            <wp:extent cx="5208270" cy="3100705"/>
            <wp:effectExtent l="0" t="0" r="11430" b="444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t>三、评估中发现的问题与对策</w:t>
      </w:r>
    </w:p>
    <w:p>
      <w:pPr>
        <w:pStyle w:val="3"/>
        <w:numPr>
          <w:ilvl w:val="0"/>
          <w:numId w:val="1"/>
        </w:numPr>
        <w:adjustRightInd w:val="0"/>
        <w:snapToGrid w:val="0"/>
        <w:spacing w:before="156" w:beforeLines="50" w:after="156" w:afterLines="50" w:line="560" w:lineRule="exact"/>
        <w:ind w:firstLine="560" w:firstLineChars="200"/>
        <w:rPr>
          <w:rFonts w:ascii="Times New Roman" w:hAnsi="Times New Roman" w:eastAsia="楷体"/>
          <w:sz w:val="28"/>
        </w:rPr>
      </w:pPr>
      <w:r>
        <w:rPr>
          <w:rFonts w:hint="eastAsia" w:ascii="Times New Roman" w:hAnsi="Times New Roman" w:eastAsia="楷体"/>
          <w:b w:val="0"/>
          <w:bCs w:val="0"/>
          <w:sz w:val="28"/>
        </w:rPr>
        <w:t>评估中发现的问题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本次评估工作，也发现了绵阳在底线管控、结构效率、品质提升三个方面的一些问题。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在底线管控方面，</w:t>
      </w:r>
      <w:r>
        <w:rPr>
          <w:rFonts w:hint="eastAsia" w:eastAsia="仿宋"/>
          <w:sz w:val="24"/>
        </w:rPr>
        <w:t>绵阳市的生态保护红线范围内存在较少量的农村居民点用地，居民生产生活对生态保护的影响待评估。受到自然和人为因素的共同影响，河湖水面面积出现减少，流域治理与水体保护压力上升。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在空间结构与效率方面，</w:t>
      </w:r>
      <w:r>
        <w:rPr>
          <w:rFonts w:hint="eastAsia" w:eastAsia="仿宋"/>
          <w:sz w:val="24"/>
        </w:rPr>
        <w:t>首先，随着城市空间规模持续扩大，单中心指状的城市结构并未改变，造成城区功能承载过度和公共服务设施供给低效等问题。其次，城区的支路网密度过低，城市交通系统存在毛细不畅和路网体系不完整的结构性问题。再次，城市存在整体城乡建设用地的人均指标偏高、地均</w:t>
      </w:r>
      <w:r>
        <w:rPr>
          <w:rFonts w:eastAsia="仿宋"/>
          <w:sz w:val="24"/>
        </w:rPr>
        <w:t>GDP</w:t>
      </w:r>
      <w:r>
        <w:rPr>
          <w:rFonts w:hint="eastAsia" w:eastAsia="仿宋"/>
          <w:sz w:val="24"/>
        </w:rPr>
        <w:t>产出偏低等空间效率偏低问题。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在品质提升方面，</w:t>
      </w:r>
      <w:r>
        <w:rPr>
          <w:rFonts w:hint="eastAsia" w:eastAsia="仿宋"/>
          <w:sz w:val="24"/>
        </w:rPr>
        <w:t>首先，城市公共空间存在分布不均衡问题，公园绿地、广场的</w:t>
      </w:r>
      <w:r>
        <w:rPr>
          <w:rFonts w:eastAsia="仿宋"/>
          <w:sz w:val="24"/>
        </w:rPr>
        <w:t>5分钟覆盖率仍有提升空间。其次，城市公共设施中的社区卫生医疗设施和体育设施不足，亟待补充。再次，城市安全设施存在消防站数量不足、消防救援5分钟可达覆盖率过低的问题。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在实施机制方面，</w:t>
      </w:r>
      <w:r>
        <w:rPr>
          <w:rFonts w:hint="eastAsia" w:eastAsia="仿宋"/>
          <w:sz w:val="24"/>
        </w:rPr>
        <w:t>结合本次工作过程中部门协同中的难点，对城乡规划、土地利用规划及林业、环保等部门规划实施情况进行了充分分析，现行多规在内容、层级及管理体系等方面协同性差，开发与保护规划相矛盾、部门监测与统计口径不一等问题明显，造成了空间管控的割裂、交叉与缺位的情况。</w:t>
      </w:r>
    </w:p>
    <w:p>
      <w:pPr>
        <w:pStyle w:val="3"/>
        <w:numPr>
          <w:ilvl w:val="0"/>
          <w:numId w:val="1"/>
        </w:numPr>
        <w:adjustRightInd w:val="0"/>
        <w:snapToGrid w:val="0"/>
        <w:spacing w:before="156" w:beforeLines="50" w:after="156" w:afterLines="50" w:line="560" w:lineRule="exact"/>
        <w:ind w:firstLine="560" w:firstLineChars="200"/>
        <w:rPr>
          <w:rFonts w:ascii="Times New Roman" w:hAnsi="Times New Roman" w:eastAsia="楷体"/>
          <w:sz w:val="28"/>
        </w:rPr>
      </w:pPr>
      <w:r>
        <w:rPr>
          <w:rFonts w:hint="eastAsia" w:ascii="Times New Roman" w:hAnsi="Times New Roman" w:eastAsia="楷体"/>
          <w:b w:val="0"/>
          <w:bCs w:val="0"/>
          <w:sz w:val="28"/>
        </w:rPr>
        <w:t>规划编制的对策建议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根据国土空间规划编制工作的要求和指引，探索在空间规划体系中解决评估发现的问题。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生态优先，严守底线、科学修复。</w:t>
      </w:r>
      <w:r>
        <w:rPr>
          <w:rFonts w:hint="eastAsia" w:eastAsia="仿宋"/>
          <w:sz w:val="24"/>
        </w:rPr>
        <w:t>贯彻国家和四川省下达的生态、耕地保护要求，科学划定“三线”，严格落实指标。强化生态移民、水生态治理等方面的规划引导和政策设计。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高质量发展，优化结构、提升效率。</w:t>
      </w:r>
      <w:r>
        <w:rPr>
          <w:rFonts w:hint="eastAsia" w:eastAsia="仿宋"/>
          <w:sz w:val="24"/>
        </w:rPr>
        <w:t>优化空间布局，疏解中心片区部分职能，构建多中心、组团式的城市结构。完善路网体系，构建快慢相宜、密度合理的城市交通系统。通过城乡统筹、存量挖潜等方式，实现乡村精明收缩，提升用地绩效。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高品质生活，补齐短板、升级服务。</w:t>
      </w:r>
      <w:r>
        <w:rPr>
          <w:rFonts w:hint="eastAsia" w:eastAsia="仿宋"/>
          <w:sz w:val="24"/>
        </w:rPr>
        <w:t>引导公共服务设施精细化配置，逐步补齐城市和社区等各级设施短板。按照国家规范要求，重点配置消防站点、应急避难场所等设施，充分保障城市安全。</w:t>
      </w:r>
    </w:p>
    <w:p>
      <w:pPr>
        <w:spacing w:line="360" w:lineRule="auto"/>
        <w:ind w:firstLine="482" w:firstLineChars="200"/>
        <w:rPr>
          <w:rFonts w:eastAsia="仿宋"/>
          <w:sz w:val="24"/>
        </w:rPr>
      </w:pPr>
      <w:r>
        <w:rPr>
          <w:rFonts w:hint="eastAsia" w:eastAsia="仿宋"/>
          <w:b/>
          <w:bCs/>
          <w:sz w:val="24"/>
        </w:rPr>
        <w:t>高水平治理，理顺机制、完善政策。</w:t>
      </w:r>
      <w:r>
        <w:rPr>
          <w:rFonts w:hint="eastAsia" w:eastAsia="仿宋"/>
          <w:sz w:val="24"/>
        </w:rPr>
        <w:t>根据国土空间规划和空间治理要求，围绕现状评估、规划编制、实施监督，形成口径统一、层级统一、管理统一的全过程协同机制。在规划政策方面，建议上级部门针对市县发展特点，因地制宜的给予政策倾斜；本级部分则围绕空间规划中的战略主线，制定推动地方高质量发展的相关政策。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</w:p>
    <w:p>
      <w:pPr>
        <w:spacing w:line="360" w:lineRule="auto"/>
        <w:ind w:firstLine="560" w:firstLineChars="200"/>
        <w:rPr>
          <w:rFonts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t>四、工作展望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本次评估通过六个维度、多项指标的系统分析，对绵阳国土空间开发和保护的现状、趋势、水平、问题等形成较为全面、清晰的认识，一方面拓展了绵阳规划编制与管理对国土空间开发保护的认知宽度，另一方面也有利于提升规划对新时代高质量发展的响应能力。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下一步，绵阳</w:t>
      </w:r>
      <w:r>
        <w:rPr>
          <w:rFonts w:eastAsia="仿宋"/>
          <w:sz w:val="24"/>
        </w:rPr>
        <w:t>将</w:t>
      </w:r>
      <w:r>
        <w:rPr>
          <w:rFonts w:hint="eastAsia" w:eastAsia="仿宋"/>
          <w:sz w:val="24"/>
        </w:rPr>
        <w:t>在</w:t>
      </w:r>
      <w:r>
        <w:rPr>
          <w:rFonts w:eastAsia="仿宋"/>
          <w:sz w:val="24"/>
        </w:rPr>
        <w:t>本次评估</w:t>
      </w:r>
      <w:r>
        <w:rPr>
          <w:rFonts w:hint="eastAsia" w:eastAsia="仿宋"/>
          <w:sz w:val="24"/>
        </w:rPr>
        <w:t>探索</w:t>
      </w:r>
      <w:r>
        <w:rPr>
          <w:rFonts w:eastAsia="仿宋"/>
          <w:sz w:val="24"/>
        </w:rPr>
        <w:t>的基础上，</w:t>
      </w:r>
      <w:r>
        <w:rPr>
          <w:rFonts w:hint="eastAsia" w:eastAsia="仿宋"/>
          <w:sz w:val="24"/>
        </w:rPr>
        <w:t>加强问题思考和经验</w:t>
      </w:r>
      <w:r>
        <w:rPr>
          <w:rFonts w:eastAsia="仿宋"/>
          <w:sz w:val="24"/>
        </w:rPr>
        <w:t>总结</w:t>
      </w:r>
      <w:r>
        <w:rPr>
          <w:rFonts w:hint="eastAsia" w:eastAsia="仿宋"/>
          <w:sz w:val="24"/>
        </w:rPr>
        <w:t>，不断提升</w:t>
      </w:r>
      <w:r>
        <w:rPr>
          <w:rFonts w:eastAsia="仿宋"/>
          <w:sz w:val="24"/>
        </w:rPr>
        <w:t>完善评估工作的技术方法。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（</w:t>
      </w:r>
      <w:r>
        <w:rPr>
          <w:rFonts w:eastAsia="仿宋"/>
          <w:sz w:val="24"/>
        </w:rPr>
        <w:t>1</w:t>
      </w:r>
      <w:r>
        <w:rPr>
          <w:rFonts w:hint="eastAsia" w:eastAsia="仿宋"/>
          <w:sz w:val="24"/>
        </w:rPr>
        <w:t>）进一步衔接市县级国土空间规划编制的新要求，强化对规划报批审查重点内容对应项目的分析和评价。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（</w:t>
      </w:r>
      <w:r>
        <w:rPr>
          <w:rFonts w:eastAsia="仿宋"/>
          <w:sz w:val="24"/>
        </w:rPr>
        <w:t>2</w:t>
      </w:r>
      <w:r>
        <w:rPr>
          <w:rFonts w:hint="eastAsia" w:eastAsia="仿宋"/>
          <w:sz w:val="24"/>
        </w:rPr>
        <w:t>）深入自身资源利用及发展格局等特征，增补完善特色指标，并纳入到评估指标</w:t>
      </w:r>
      <w:r>
        <w:rPr>
          <w:rFonts w:eastAsia="仿宋"/>
          <w:sz w:val="24"/>
        </w:rPr>
        <w:t>体系</w:t>
      </w:r>
      <w:r>
        <w:rPr>
          <w:rFonts w:hint="eastAsia" w:eastAsia="仿宋"/>
          <w:sz w:val="24"/>
        </w:rPr>
        <w:t>中。包括提升区域交通可达性、加强科技创新成果转化能力、加强重点生态资源保护、评估产业园区和城市重点片区空间绩效、扶贫攻坚、乡村振兴、农业现代化等内容。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（</w:t>
      </w:r>
      <w:r>
        <w:rPr>
          <w:rFonts w:eastAsia="仿宋"/>
          <w:sz w:val="24"/>
        </w:rPr>
        <w:t>3）将市域统筹纳入到评估体系中，增加城市中心性与联系性、县级单元空间绩效等相关指标，衔接市级国土空间规划的市域统筹内容，保证规划的“承上启下”作用。</w:t>
      </w:r>
    </w:p>
    <w:p>
      <w:pPr>
        <w:spacing w:line="360" w:lineRule="auto"/>
        <w:ind w:firstLine="480" w:firstLineChars="200"/>
        <w:rPr>
          <w:rFonts w:eastAsia="仿宋"/>
          <w:sz w:val="24"/>
        </w:rPr>
      </w:pPr>
      <w:r>
        <w:rPr>
          <w:rFonts w:hint="eastAsia" w:eastAsia="仿宋"/>
          <w:sz w:val="24"/>
        </w:rPr>
        <w:t>（</w:t>
      </w:r>
      <w:r>
        <w:rPr>
          <w:rFonts w:eastAsia="仿宋"/>
          <w:sz w:val="24"/>
        </w:rPr>
        <w:t>4）</w:t>
      </w:r>
      <w:r>
        <w:rPr>
          <w:rFonts w:hint="eastAsia" w:eastAsia="仿宋"/>
          <w:sz w:val="24"/>
        </w:rPr>
        <w:t>加强评估指标与发改、住建、交通运输、生态环保、水利等部门监测与统计口径的对接，为空间规划实施的动态评估和监测打好基础。</w:t>
      </w:r>
    </w:p>
    <w:p>
      <w:pPr>
        <w:jc w:val="center"/>
        <w:rPr>
          <w:rFonts w:eastAsia="方正小标宋简体"/>
          <w:sz w:val="44"/>
          <w:szCs w:val="4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F684D1"/>
    <w:multiLevelType w:val="singleLevel"/>
    <w:tmpl w:val="A8F684D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9B16B2"/>
    <w:rsid w:val="149B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ind w:firstLine="200" w:firstLineChars="200"/>
      <w:jc w:val="left"/>
      <w:outlineLvl w:val="1"/>
    </w:pPr>
    <w:rPr>
      <w:rFonts w:ascii="宋体" w:hAnsi="宋体" w:eastAsia="仿宋" w:cs="宋体"/>
      <w:b/>
      <w:bCs/>
      <w:kern w:val="0"/>
      <w:sz w:val="36"/>
      <w:szCs w:val="36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2019-08-08T08:34:00Z</dcterms:created>
  <dc:creator>廖京平</dc:creator>
  <cp:lastModifiedBy>廖京平</cp:lastModifiedBy>
  <dcterms:modified xsi:type="dcterms:W3CDTF">2019-08-08T08:36:37Z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