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新修订</w:t>
      </w:r>
      <w:r>
        <w:rPr>
          <w:rFonts w:hint="eastAsia" w:ascii="方正小标宋简体" w:hAnsi="宋体" w:eastAsia="方正小标宋简体"/>
          <w:sz w:val="44"/>
          <w:szCs w:val="44"/>
        </w:rPr>
        <w:t>《绵阳市食品安全突发事件应急预案》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的政策解读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TT2Fo02"/>
          <w:kern w:val="0"/>
          <w:sz w:val="32"/>
          <w:szCs w:val="32"/>
        </w:rPr>
      </w:pPr>
      <w:r>
        <w:rPr>
          <w:rFonts w:hint="eastAsia" w:ascii="仿宋_GB2312" w:hAnsi="仿宋" w:eastAsia="仿宋_GB2312" w:cs="TT2Fo02"/>
          <w:kern w:val="0"/>
          <w:sz w:val="32"/>
          <w:szCs w:val="32"/>
          <w:lang w:val="en-US" w:eastAsia="zh-CN"/>
        </w:rPr>
        <w:t>2018年1月5日，绵阳市人民政府办公室印发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绵阳市食品安全突发事件应急预案》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绵府办发〔201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〕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 xml:space="preserve"> 号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自通知印发之日起，《绵阳市人民政府办公室关于印发〈绵阳市食品安全事故应急预案（试行）〉的通知》（绵府办发〔2013〕2 号）同时废止。</w:t>
      </w:r>
      <w:r>
        <w:rPr>
          <w:rFonts w:hint="eastAsia" w:ascii="仿宋_GB2312" w:hAnsi="仿宋" w:eastAsia="仿宋_GB2312" w:cs="TT2Fo02"/>
          <w:kern w:val="0"/>
          <w:sz w:val="32"/>
          <w:szCs w:val="32"/>
          <w:lang w:eastAsia="zh-CN"/>
        </w:rPr>
        <w:t>现解读如下：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TT2Do00"/>
          <w:kern w:val="0"/>
          <w:sz w:val="32"/>
          <w:szCs w:val="32"/>
        </w:rPr>
      </w:pPr>
      <w:r>
        <w:rPr>
          <w:rFonts w:hint="eastAsia" w:ascii="黑体" w:hAnsi="黑体" w:eastAsia="黑体" w:cs="TT2Do00"/>
          <w:kern w:val="0"/>
          <w:sz w:val="32"/>
          <w:szCs w:val="32"/>
        </w:rPr>
        <w:t>一、修订背景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近五年来，随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着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监管体制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改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革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深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入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推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进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以及新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修订</w:t>
      </w:r>
      <w:r>
        <w:rPr>
          <w:rFonts w:hint="eastAsia" w:ascii="仿宋_GB2312" w:hAnsi="仿宋" w:eastAsia="仿宋_GB2312"/>
          <w:sz w:val="32"/>
          <w:szCs w:val="32"/>
        </w:rPr>
        <w:t>《中华人民共和国食品安全法》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的实施，食品安全应急管理工作的法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律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法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规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和政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策环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境发生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较大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变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化。一是绵阳市人民政府办公室</w:t>
      </w:r>
      <w:r>
        <w:rPr>
          <w:rFonts w:hint="eastAsia" w:ascii="仿宋_GB2312" w:hAnsi="仿宋" w:eastAsia="仿宋_GB2312" w:cs="TT2Fo00"/>
          <w:kern w:val="0"/>
          <w:sz w:val="32"/>
          <w:szCs w:val="32"/>
          <w:lang w:eastAsia="zh-CN"/>
        </w:rPr>
        <w:t>印发的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《绵阳市食品药品监督管理局主要职责内设机构和人员编制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规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定》（绵府办发〔2013〕58号）中明确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绵阳市食品药品监管局负责食品、药品、医疗器械、化妆品安全事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故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应急体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系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建设，组织和指导食品、药品、医疗器械、化妆品安全事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故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应急处置和调查处理工作，监督事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故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查处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落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实情况。二是2015年新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修订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《中华人民共和国食品安全法》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对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食品安全应急管理作出了新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规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定。三是2017年8月25日，四川省人民政府办公厅印发了《四川省食品安全突发事件应急预案》（</w:t>
      </w:r>
      <w:r>
        <w:rPr>
          <w:rFonts w:hint="eastAsia" w:ascii="仿宋_GB2312" w:hAnsi="仿宋" w:eastAsia="仿宋_GB2312" w:cs="TT2Fo00"/>
          <w:sz w:val="32"/>
          <w:szCs w:val="32"/>
        </w:rPr>
        <w:t>川办函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〔2017〕168</w:t>
      </w:r>
      <w:r>
        <w:rPr>
          <w:rFonts w:hint="eastAsia" w:ascii="仿宋_GB2312" w:hAnsi="仿宋" w:eastAsia="仿宋_GB2312" w:cs="TT2Fo00"/>
          <w:sz w:val="32"/>
          <w:szCs w:val="32"/>
        </w:rPr>
        <w:t>号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），对食品安全应急工作提出了新要求，在应急预案依据的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上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位法发生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变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化、预案的应急指挥机构及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其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职责发生重大调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整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等情况下，应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当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修订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相关应急预案。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TT2Do00"/>
          <w:kern w:val="0"/>
          <w:sz w:val="32"/>
          <w:szCs w:val="32"/>
        </w:rPr>
      </w:pPr>
      <w:r>
        <w:rPr>
          <w:rFonts w:hint="eastAsia" w:ascii="黑体" w:hAnsi="黑体" w:eastAsia="黑体" w:cs="TT2Do00"/>
          <w:kern w:val="0"/>
          <w:sz w:val="32"/>
          <w:szCs w:val="32"/>
        </w:rPr>
        <w:t>二、修订依据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（一）《中华人民共和国突发事件应对法》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（二）《中华人民共和国食品安全法》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（三）《中华人民共和国农产品质量安全法》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（四）《中华人民共和国食品安全法实施条例》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（五）《国务院办公厅关于印发突发事件应急预案管理办法的通知》（国办发〔2013〕101号）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（六）《四川省食品安全突发事件应急预案》（川办函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168号）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（七）《四川省人民政府办公厅关于进一步加强食品安全保障工作的意见》（川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办发〔2015〕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95号）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仿宋" w:eastAsia="仿宋_GB2312" w:cs="TT2Fo00"/>
          <w:kern w:val="0"/>
          <w:sz w:val="32"/>
          <w:szCs w:val="32"/>
        </w:rPr>
      </w:pPr>
      <w:r>
        <w:rPr>
          <w:rFonts w:hint="eastAsia" w:ascii="仿宋_GB2312" w:hAnsi="仿宋" w:eastAsia="仿宋_GB2312" w:cs="TT2Fo00"/>
          <w:kern w:val="0"/>
          <w:sz w:val="32"/>
          <w:szCs w:val="32"/>
        </w:rPr>
        <w:t>（八）《绵阳市人民政府办公室关于印发&lt;绵阳市食品药品监管职权划分规定&gt;的通知》（绵府办发〔2013〕88号）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黑体" w:hAnsi="黑体" w:eastAsia="黑体" w:cs="TT2Do00"/>
          <w:kern w:val="0"/>
          <w:sz w:val="32"/>
          <w:szCs w:val="32"/>
        </w:rPr>
      </w:pPr>
      <w:r>
        <w:rPr>
          <w:rFonts w:hint="eastAsia" w:ascii="黑体" w:hAnsi="黑体" w:eastAsia="黑体" w:cs="TT2Do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T2Do00"/>
          <w:kern w:val="0"/>
          <w:sz w:val="32"/>
          <w:szCs w:val="32"/>
        </w:rPr>
        <w:t>、修订的主要内容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" w:eastAsia="仿宋_GB2312" w:cs="TT2Eo00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TT2Fo00"/>
          <w:b/>
          <w:kern w:val="0"/>
          <w:sz w:val="32"/>
          <w:szCs w:val="32"/>
        </w:rPr>
        <w:t>（一）调整了预案名称。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依据新《食品安全法》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第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六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条，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《绵阳市食品安全事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故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应急预案》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修订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为《绵阳市食品安全突发事件应急预案》，并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明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确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“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食品安全突发事件主要包括食源性疾病、食品污染等源于食品，对人体健康有危害或者可能有危害的突发事件，以及食品安全舆情事件。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" w:eastAsia="仿宋_GB2312" w:cs="TT2Fo01"/>
          <w:kern w:val="0"/>
          <w:sz w:val="32"/>
          <w:szCs w:val="32"/>
        </w:rPr>
      </w:pPr>
      <w:r>
        <w:rPr>
          <w:rFonts w:hint="eastAsia" w:ascii="楷体_GB2312" w:hAnsi="仿宋" w:eastAsia="楷体_GB2312" w:cs="TT2Fo00"/>
          <w:b/>
          <w:kern w:val="0"/>
          <w:sz w:val="32"/>
          <w:szCs w:val="32"/>
        </w:rPr>
        <w:t>（二）将舆情事件纳入预案进行规范化管理。</w:t>
      </w:r>
      <w:r>
        <w:rPr>
          <w:rFonts w:hint="eastAsia" w:ascii="仿宋_GB2312" w:hAnsi="仿宋" w:eastAsia="仿宋_GB2312" w:cs="TT2Fo01"/>
          <w:kern w:val="0"/>
          <w:sz w:val="32"/>
          <w:szCs w:val="32"/>
          <w:u w:val="none"/>
        </w:rPr>
        <w:t>将</w:t>
      </w:r>
      <w:r>
        <w:rPr>
          <w:rFonts w:hint="eastAsia" w:ascii="仿宋_GB2312" w:hAnsi="仿宋" w:eastAsia="仿宋_GB2312" w:cs="TT2Fo00"/>
          <w:kern w:val="0"/>
          <w:sz w:val="32"/>
          <w:szCs w:val="32"/>
          <w:u w:val="none"/>
        </w:rPr>
        <w:t>食品安全舆情事件作为食品安全突发事件一</w:t>
      </w:r>
      <w:r>
        <w:rPr>
          <w:rFonts w:hint="eastAsia" w:ascii="仿宋_GB2312" w:hAnsi="仿宋" w:eastAsia="仿宋_GB2312" w:cs="TT2Fo01"/>
          <w:kern w:val="0"/>
          <w:sz w:val="32"/>
          <w:szCs w:val="32"/>
          <w:u w:val="none"/>
        </w:rPr>
        <w:t>个</w:t>
      </w:r>
      <w:r>
        <w:rPr>
          <w:rFonts w:hint="eastAsia" w:ascii="仿宋_GB2312" w:hAnsi="仿宋" w:eastAsia="仿宋_GB2312" w:cs="TT2Fo02"/>
          <w:kern w:val="0"/>
          <w:sz w:val="32"/>
          <w:szCs w:val="32"/>
          <w:u w:val="none"/>
        </w:rPr>
        <w:t>类别</w:t>
      </w:r>
      <w:r>
        <w:rPr>
          <w:rFonts w:hint="eastAsia" w:ascii="仿宋_GB2312" w:hAnsi="仿宋" w:eastAsia="仿宋_GB2312" w:cs="TT2Fo00"/>
          <w:kern w:val="0"/>
          <w:sz w:val="32"/>
          <w:szCs w:val="32"/>
          <w:u w:val="none"/>
        </w:rPr>
        <w:t>，在预案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各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个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章节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体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现，并对食品安全舆情响应级别和核查处置程序进行了明确要求。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仿宋" w:eastAsia="楷体_GB2312" w:cs="TT2Fo00"/>
          <w:b/>
          <w:kern w:val="0"/>
          <w:sz w:val="32"/>
          <w:szCs w:val="32"/>
        </w:rPr>
      </w:pPr>
      <w:r>
        <w:rPr>
          <w:rFonts w:hint="eastAsia" w:ascii="楷体_GB2312" w:hAnsi="仿宋" w:eastAsia="楷体_GB2312" w:cs="TT2Fo00"/>
          <w:b/>
          <w:kern w:val="0"/>
          <w:sz w:val="32"/>
          <w:szCs w:val="32"/>
        </w:rPr>
        <w:t>（三）调整了事件分级标准。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在分级标准中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增加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食品安全舆情事件的分级标准，主要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从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舆情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波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及范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围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造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成的危害或影响，以及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当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地政府评估情况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进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行四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个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等级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划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分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；二是将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原预案</w:t>
      </w:r>
      <w:r>
        <w:rPr>
          <w:rFonts w:hint="eastAsia" w:ascii="仿宋_GB2312" w:hAnsi="仿宋" w:eastAsia="仿宋_GB2312" w:cs="TT30o00"/>
          <w:kern w:val="0"/>
          <w:sz w:val="32"/>
          <w:szCs w:val="32"/>
        </w:rPr>
        <w:t>Ⅳ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级评估指标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“1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物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毒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事件中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毒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数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99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人以下，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且未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出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现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死亡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病例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修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改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为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 xml:space="preserve">“1 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物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毒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事件中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毒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数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30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人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(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含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)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以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上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99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人以下，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且未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出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现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死亡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病例</w:t>
      </w:r>
      <w:r>
        <w:rPr>
          <w:rFonts w:hint="eastAsia" w:ascii="仿宋_GB2312" w:hAnsi="仿宋" w:eastAsia="仿宋_GB2312" w:cs="TimesNewRoman"/>
          <w:kern w:val="0"/>
          <w:sz w:val="32"/>
          <w:szCs w:val="32"/>
        </w:rPr>
        <w:t>”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" w:eastAsia="仿宋_GB2312" w:cs="TT2Eo00"/>
          <w:kern w:val="0"/>
          <w:sz w:val="32"/>
          <w:szCs w:val="32"/>
        </w:rPr>
      </w:pPr>
      <w:r>
        <w:rPr>
          <w:rFonts w:hint="eastAsia" w:ascii="楷体_GB2312" w:hAnsi="仿宋" w:eastAsia="楷体_GB2312" w:cs="TT2Fo00"/>
          <w:b/>
          <w:kern w:val="0"/>
          <w:sz w:val="32"/>
          <w:szCs w:val="32"/>
        </w:rPr>
        <w:t>（四）严格信息报告相关要求。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是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依据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不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同信息报告主体，分别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明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确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报告时限、报告内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容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等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具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体要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求；二是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提出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强化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首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报责任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意识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落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实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首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报责任以及特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殊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情况下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越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级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上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报的条件。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" w:eastAsia="仿宋_GB2312" w:cs="TT2Fo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TT2Fo00"/>
          <w:b/>
          <w:kern w:val="0"/>
          <w:sz w:val="32"/>
          <w:szCs w:val="32"/>
        </w:rPr>
        <w:t>（五）强化突发事件应急响应。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总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结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食品安全突发事件应急处置经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验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梳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理、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归纳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、提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炼了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医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学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救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援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现场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调查、应急检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验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检测等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八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条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通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用应急响应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措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施，在突发事件应对实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践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中可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酌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情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选择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使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用，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并将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应急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队伍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含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专家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队伍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）保障单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列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提出，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明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确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了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应急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队伍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建设、管理、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装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备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配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备以及</w:t>
      </w:r>
      <w:r>
        <w:rPr>
          <w:rFonts w:hint="eastAsia" w:ascii="仿宋_GB2312" w:hAnsi="仿宋" w:eastAsia="仿宋_GB2312" w:cs="TT2Fo02"/>
          <w:kern w:val="0"/>
          <w:sz w:val="32"/>
          <w:szCs w:val="32"/>
        </w:rPr>
        <w:t>培训演练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等要</w:t>
      </w:r>
      <w:r>
        <w:rPr>
          <w:rFonts w:hint="eastAsia" w:ascii="仿宋_GB2312" w:hAnsi="仿宋" w:eastAsia="仿宋_GB2312" w:cs="TT2Fo01"/>
          <w:kern w:val="0"/>
          <w:sz w:val="32"/>
          <w:szCs w:val="32"/>
        </w:rPr>
        <w:t>求</w:t>
      </w:r>
      <w:r>
        <w:rPr>
          <w:rFonts w:hint="eastAsia" w:ascii="仿宋_GB2312" w:hAnsi="仿宋" w:eastAsia="仿宋_GB2312" w:cs="TT2Fo00"/>
          <w:kern w:val="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T2D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T2F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F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F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T2E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30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JFIHGW+TT25o00">
    <w:altName w:val="Arial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TT55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5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5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57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AA73D4"/>
    <w:rsid w:val="182D6A6B"/>
    <w:rsid w:val="406E15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2018-11-05T07:07:00Z</dcterms:created>
  <dc:creator>AFS</dc:creator>
  <cp:lastModifiedBy>AFS</cp:lastModifiedBy>
  <cp:lastPrinted>2018-11-06T02:05:49Z</cp:lastPrinted>
  <dcterms:modified xsi:type="dcterms:W3CDTF">2018-11-06T02:19:49Z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