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4C" w:rsidRDefault="001A4D4C" w:rsidP="001A4D4C">
      <w:pPr>
        <w:snapToGrid w:val="0"/>
        <w:spacing w:line="660" w:lineRule="exact"/>
        <w:ind w:firstLine="641"/>
        <w:jc w:val="center"/>
        <w:rPr>
          <w:rFonts w:ascii="方正小标宋简体" w:eastAsia="方正小标宋简体"/>
          <w:sz w:val="44"/>
          <w:szCs w:val="44"/>
        </w:rPr>
      </w:pPr>
      <w:r>
        <w:rPr>
          <w:rFonts w:ascii="方正小标宋简体" w:eastAsia="方正小标宋简体" w:hAnsi="方正小标宋简体" w:cs="方正小标宋简体" w:hint="eastAsia"/>
          <w:color w:val="000000"/>
          <w:sz w:val="44"/>
          <w:szCs w:val="44"/>
        </w:rPr>
        <w:t>《</w:t>
      </w:r>
      <w:r>
        <w:rPr>
          <w:rFonts w:ascii="方正小标宋简体" w:eastAsia="方正小标宋简体" w:hint="eastAsia"/>
          <w:sz w:val="44"/>
          <w:szCs w:val="44"/>
        </w:rPr>
        <w:t>城乡居民大病保险管理办法</w:t>
      </w:r>
      <w:r>
        <w:rPr>
          <w:rFonts w:ascii="方正小标宋简体" w:eastAsia="方正小标宋简体" w:hAnsi="方正小标宋简体" w:cs="方正小标宋简体" w:hint="eastAsia"/>
          <w:color w:val="000000"/>
          <w:sz w:val="44"/>
          <w:szCs w:val="44"/>
        </w:rPr>
        <w:t>》</w:t>
      </w:r>
    </w:p>
    <w:p w:rsidR="001A4D4C" w:rsidRDefault="001A4D4C" w:rsidP="001A4D4C">
      <w:pPr>
        <w:snapToGrid w:val="0"/>
        <w:spacing w:line="660" w:lineRule="exact"/>
        <w:jc w:val="center"/>
        <w:rPr>
          <w:rFonts w:ascii="方正小标宋简体" w:eastAsia="方正小标宋简体"/>
          <w:sz w:val="44"/>
          <w:szCs w:val="44"/>
        </w:rPr>
      </w:pPr>
      <w:r>
        <w:rPr>
          <w:rFonts w:ascii="方正小标宋简体" w:eastAsia="方正小标宋简体" w:hint="eastAsia"/>
          <w:sz w:val="44"/>
          <w:szCs w:val="44"/>
        </w:rPr>
        <w:t>起草说明</w:t>
      </w:r>
    </w:p>
    <w:p w:rsidR="001A4D4C" w:rsidRDefault="001A4D4C" w:rsidP="001A4D4C">
      <w:pPr>
        <w:snapToGrid w:val="0"/>
        <w:spacing w:line="520" w:lineRule="exact"/>
        <w:ind w:firstLine="641"/>
        <w:rPr>
          <w:rFonts w:ascii="仿宋_GB2312" w:eastAsia="仿宋_GB2312"/>
          <w:sz w:val="32"/>
          <w:szCs w:val="32"/>
        </w:rPr>
      </w:pPr>
    </w:p>
    <w:p w:rsidR="001A4D4C" w:rsidRDefault="001A4D4C" w:rsidP="001A4D4C">
      <w:pPr>
        <w:snapToGrid w:val="0"/>
        <w:spacing w:line="560" w:lineRule="exact"/>
        <w:ind w:firstLine="641"/>
        <w:rPr>
          <w:rFonts w:ascii="黑体" w:eastAsia="黑体" w:hint="eastAsia"/>
          <w:sz w:val="32"/>
          <w:szCs w:val="32"/>
        </w:rPr>
      </w:pPr>
      <w:r>
        <w:rPr>
          <w:rFonts w:ascii="黑体" w:eastAsia="黑体" w:hint="eastAsia"/>
          <w:sz w:val="32"/>
          <w:szCs w:val="32"/>
        </w:rPr>
        <w:t>一、起草背景</w:t>
      </w:r>
    </w:p>
    <w:p w:rsidR="001A4D4C" w:rsidRDefault="001A4D4C" w:rsidP="001A4D4C">
      <w:pPr>
        <w:snapToGrid w:val="0"/>
        <w:spacing w:line="560" w:lineRule="exact"/>
        <w:ind w:firstLine="641"/>
        <w:rPr>
          <w:rFonts w:ascii="仿宋_GB2312" w:eastAsia="仿宋_GB2312"/>
          <w:sz w:val="32"/>
          <w:szCs w:val="32"/>
        </w:rPr>
      </w:pPr>
      <w:r>
        <w:rPr>
          <w:rFonts w:ascii="仿宋_GB2312" w:eastAsia="仿宋_GB2312" w:hint="eastAsia"/>
          <w:sz w:val="32"/>
          <w:szCs w:val="32"/>
        </w:rPr>
        <w:t>因城乡居民基本</w:t>
      </w:r>
      <w:proofErr w:type="gramStart"/>
      <w:r>
        <w:rPr>
          <w:rFonts w:ascii="仿宋_GB2312" w:eastAsia="仿宋_GB2312" w:hint="eastAsia"/>
          <w:sz w:val="32"/>
          <w:szCs w:val="32"/>
        </w:rPr>
        <w:t>医</w:t>
      </w:r>
      <w:proofErr w:type="gramEnd"/>
      <w:r>
        <w:rPr>
          <w:rFonts w:ascii="仿宋_GB2312" w:eastAsia="仿宋_GB2312" w:hint="eastAsia"/>
          <w:sz w:val="32"/>
          <w:szCs w:val="32"/>
        </w:rPr>
        <w:t>保政策已统一，而原新农合大病保险和城镇居民大病保险政策存在，须同步统一城乡居民大病保险政策，确保从2018年1月1日起，城乡居民享受同样的基本</w:t>
      </w:r>
      <w:proofErr w:type="gramStart"/>
      <w:r>
        <w:rPr>
          <w:rFonts w:ascii="仿宋_GB2312" w:eastAsia="仿宋_GB2312" w:hint="eastAsia"/>
          <w:sz w:val="32"/>
          <w:szCs w:val="32"/>
        </w:rPr>
        <w:t>医</w:t>
      </w:r>
      <w:proofErr w:type="gramEnd"/>
      <w:r>
        <w:rPr>
          <w:rFonts w:ascii="仿宋_GB2312" w:eastAsia="仿宋_GB2312" w:hint="eastAsia"/>
          <w:sz w:val="32"/>
          <w:szCs w:val="32"/>
        </w:rPr>
        <w:t>保、大病保险政策待遇。</w:t>
      </w:r>
    </w:p>
    <w:p w:rsidR="001A4D4C" w:rsidRDefault="001A4D4C" w:rsidP="001A4D4C">
      <w:pPr>
        <w:snapToGrid w:val="0"/>
        <w:spacing w:line="560" w:lineRule="exact"/>
        <w:ind w:firstLine="641"/>
        <w:rPr>
          <w:rFonts w:ascii="方正小标宋简体" w:eastAsia="方正小标宋简体" w:hAnsi="方正小标宋简体" w:cs="方正小标宋简体"/>
          <w:color w:val="000000"/>
          <w:sz w:val="44"/>
          <w:szCs w:val="44"/>
        </w:rPr>
      </w:pPr>
      <w:r>
        <w:rPr>
          <w:rFonts w:ascii="黑体" w:eastAsia="黑体" w:hint="eastAsia"/>
          <w:sz w:val="32"/>
          <w:szCs w:val="32"/>
        </w:rPr>
        <w:t>二、起草依据</w:t>
      </w:r>
    </w:p>
    <w:p w:rsidR="001A4D4C" w:rsidRDefault="001A4D4C" w:rsidP="001A4D4C">
      <w:pPr>
        <w:snapToGrid w:val="0"/>
        <w:spacing w:line="560" w:lineRule="exact"/>
        <w:ind w:firstLine="641"/>
        <w:rPr>
          <w:rFonts w:eastAsia="仿宋_GB2312"/>
          <w:color w:val="000000"/>
          <w:sz w:val="32"/>
          <w:szCs w:val="32"/>
        </w:rPr>
      </w:pPr>
      <w:r>
        <w:rPr>
          <w:rFonts w:eastAsia="仿宋_GB2312" w:hint="eastAsia"/>
          <w:color w:val="000000"/>
          <w:sz w:val="32"/>
          <w:szCs w:val="32"/>
        </w:rPr>
        <w:t>（一）</w:t>
      </w:r>
      <w:r>
        <w:rPr>
          <w:rFonts w:ascii="仿宋_GB2312" w:eastAsia="仿宋_GB2312" w:hint="eastAsia"/>
          <w:color w:val="000000"/>
          <w:sz w:val="32"/>
          <w:szCs w:val="32"/>
        </w:rPr>
        <w:t>国务院办公厅《关于全面实施城乡居民大病保险的意见》（国办发〔2015〕57号）</w:t>
      </w:r>
      <w:r>
        <w:rPr>
          <w:rFonts w:eastAsia="仿宋_GB2312" w:hint="eastAsia"/>
          <w:color w:val="000000"/>
          <w:sz w:val="32"/>
          <w:szCs w:val="32"/>
        </w:rPr>
        <w:t>；</w:t>
      </w:r>
    </w:p>
    <w:p w:rsidR="001A4D4C" w:rsidRDefault="001A4D4C" w:rsidP="001A4D4C">
      <w:pPr>
        <w:snapToGrid w:val="0"/>
        <w:spacing w:line="560" w:lineRule="exact"/>
        <w:ind w:firstLine="641"/>
        <w:rPr>
          <w:rFonts w:eastAsia="仿宋_GB2312"/>
          <w:color w:val="000000"/>
          <w:sz w:val="32"/>
          <w:szCs w:val="32"/>
        </w:rPr>
      </w:pPr>
      <w:r>
        <w:rPr>
          <w:rFonts w:eastAsia="仿宋_GB2312" w:hint="eastAsia"/>
          <w:color w:val="000000"/>
          <w:sz w:val="32"/>
          <w:szCs w:val="32"/>
        </w:rPr>
        <w:t>（二）</w:t>
      </w:r>
      <w:r>
        <w:rPr>
          <w:rFonts w:ascii="仿宋_GB2312" w:eastAsia="仿宋_GB2312" w:hAnsi="仿宋" w:cs="仿宋" w:hint="eastAsia"/>
          <w:bCs/>
          <w:color w:val="000000"/>
          <w:sz w:val="32"/>
          <w:szCs w:val="32"/>
          <w:shd w:val="clear" w:color="auto" w:fill="FFFFFF"/>
        </w:rPr>
        <w:t>省</w:t>
      </w:r>
      <w:proofErr w:type="gramStart"/>
      <w:r>
        <w:rPr>
          <w:rFonts w:ascii="仿宋_GB2312" w:eastAsia="仿宋_GB2312" w:hAnsi="仿宋" w:cs="仿宋" w:hint="eastAsia"/>
          <w:bCs/>
          <w:color w:val="000000"/>
          <w:sz w:val="32"/>
          <w:szCs w:val="32"/>
          <w:shd w:val="clear" w:color="auto" w:fill="FFFFFF"/>
        </w:rPr>
        <w:t>人社厅</w:t>
      </w:r>
      <w:proofErr w:type="gramEnd"/>
      <w:r>
        <w:rPr>
          <w:rFonts w:ascii="仿宋_GB2312" w:eastAsia="仿宋_GB2312" w:hAnsi="仿宋" w:cs="仿宋" w:hint="eastAsia"/>
          <w:bCs/>
          <w:color w:val="000000"/>
          <w:sz w:val="32"/>
          <w:szCs w:val="32"/>
          <w:shd w:val="clear" w:color="auto" w:fill="FFFFFF"/>
        </w:rPr>
        <w:t>等六部门《关于全面实施城乡居民大病保险有关问题》（</w:t>
      </w:r>
      <w:r>
        <w:rPr>
          <w:rFonts w:ascii="仿宋_GB2312" w:eastAsia="仿宋_GB2312" w:hAnsi="仿宋" w:cs="仿宋" w:hint="eastAsia"/>
          <w:color w:val="000000"/>
          <w:sz w:val="32"/>
          <w:szCs w:val="32"/>
        </w:rPr>
        <w:t>川</w:t>
      </w:r>
      <w:proofErr w:type="gramStart"/>
      <w:r>
        <w:rPr>
          <w:rFonts w:ascii="仿宋_GB2312" w:eastAsia="仿宋_GB2312" w:hint="eastAsia"/>
          <w:color w:val="000000"/>
          <w:sz w:val="32"/>
          <w:szCs w:val="32"/>
        </w:rPr>
        <w:t>人社发</w:t>
      </w:r>
      <w:proofErr w:type="gramEnd"/>
      <w:r>
        <w:rPr>
          <w:rFonts w:ascii="仿宋_GB2312" w:eastAsia="仿宋_GB2312" w:hint="eastAsia"/>
          <w:color w:val="000000"/>
          <w:sz w:val="32"/>
          <w:szCs w:val="32"/>
        </w:rPr>
        <w:t>〔2015〕47号</w:t>
      </w:r>
      <w:r>
        <w:rPr>
          <w:rFonts w:ascii="仿宋_GB2312" w:eastAsia="仿宋_GB2312" w:hint="eastAsia"/>
          <w:bCs/>
          <w:color w:val="000000"/>
          <w:sz w:val="36"/>
          <w:szCs w:val="36"/>
          <w:shd w:val="clear" w:color="auto" w:fill="FFFFFF"/>
        </w:rPr>
        <w:t>）</w:t>
      </w:r>
      <w:r>
        <w:rPr>
          <w:rFonts w:eastAsia="仿宋_GB2312" w:hint="eastAsia"/>
          <w:color w:val="000000"/>
          <w:sz w:val="32"/>
          <w:szCs w:val="32"/>
        </w:rPr>
        <w:t>。</w:t>
      </w:r>
    </w:p>
    <w:p w:rsidR="001A4D4C" w:rsidRDefault="001A4D4C" w:rsidP="001A4D4C">
      <w:pPr>
        <w:snapToGrid w:val="0"/>
        <w:spacing w:line="560" w:lineRule="exact"/>
        <w:ind w:firstLine="641"/>
        <w:rPr>
          <w:rFonts w:ascii="黑体" w:eastAsia="黑体" w:hAnsi="黑体"/>
          <w:color w:val="000000"/>
          <w:sz w:val="32"/>
          <w:szCs w:val="32"/>
        </w:rPr>
      </w:pPr>
      <w:r>
        <w:rPr>
          <w:rFonts w:ascii="黑体" w:eastAsia="黑体" w:hAnsi="黑体" w:hint="eastAsia"/>
          <w:color w:val="000000"/>
          <w:sz w:val="32"/>
          <w:szCs w:val="32"/>
        </w:rPr>
        <w:t>三、起草过程</w:t>
      </w:r>
    </w:p>
    <w:p w:rsidR="001A4D4C" w:rsidRDefault="001A4D4C" w:rsidP="001A4D4C">
      <w:pPr>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根据国务院和省关于城乡居民大病保险有关政策文件精神，参考原城镇居民大病保险、新农合大病保险政策待遇，借鉴其他市州的城乡居民大病保险情况，市</w:t>
      </w:r>
      <w:proofErr w:type="gramStart"/>
      <w:r>
        <w:rPr>
          <w:rFonts w:ascii="仿宋_GB2312" w:eastAsia="仿宋_GB2312" w:hAnsi="宋体" w:hint="eastAsia"/>
          <w:sz w:val="32"/>
          <w:szCs w:val="32"/>
        </w:rPr>
        <w:t>人社局拟订</w:t>
      </w:r>
      <w:proofErr w:type="gramEnd"/>
      <w:r>
        <w:rPr>
          <w:rFonts w:ascii="仿宋_GB2312" w:eastAsia="仿宋_GB2312" w:hAnsi="宋体" w:hint="eastAsia"/>
          <w:sz w:val="32"/>
          <w:szCs w:val="32"/>
        </w:rPr>
        <w:t>了《绵阳市城乡居民大病保险管理办法（征求意见稿）》，分别书面征求了县市区、园区、市</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保局，以及市卫计委、市财政局、市民政局、市审计局和市保险行业协会意见建议，根据反馈的建议意见进行了</w:t>
      </w:r>
      <w:proofErr w:type="gramStart"/>
      <w:r>
        <w:rPr>
          <w:rFonts w:ascii="仿宋_GB2312" w:eastAsia="仿宋_GB2312" w:hAnsi="宋体" w:hint="eastAsia"/>
          <w:sz w:val="32"/>
          <w:szCs w:val="32"/>
        </w:rPr>
        <w:t>研</w:t>
      </w:r>
      <w:proofErr w:type="gramEnd"/>
      <w:r>
        <w:rPr>
          <w:rFonts w:ascii="仿宋_GB2312" w:eastAsia="仿宋_GB2312" w:hAnsi="宋体" w:hint="eastAsia"/>
          <w:sz w:val="32"/>
          <w:szCs w:val="32"/>
        </w:rPr>
        <w:t>判，对相关建议意见进行吸收采纳。随后按要求开展公众参与、风险评估等工作，形成了此稿。</w:t>
      </w:r>
    </w:p>
    <w:p w:rsidR="001A4D4C" w:rsidRDefault="001A4D4C" w:rsidP="001A4D4C">
      <w:pPr>
        <w:snapToGrid w:val="0"/>
        <w:spacing w:line="560" w:lineRule="exact"/>
        <w:ind w:firstLine="645"/>
        <w:rPr>
          <w:rFonts w:ascii="黑体" w:eastAsia="黑体" w:hAnsi="宋体"/>
          <w:sz w:val="32"/>
          <w:szCs w:val="32"/>
        </w:rPr>
      </w:pPr>
      <w:r>
        <w:rPr>
          <w:rFonts w:ascii="黑体" w:eastAsia="黑体" w:hAnsi="宋体" w:hint="eastAsia"/>
          <w:sz w:val="32"/>
          <w:szCs w:val="32"/>
        </w:rPr>
        <w:t>四、主要内容</w:t>
      </w:r>
    </w:p>
    <w:p w:rsidR="001A4D4C" w:rsidRDefault="001A4D4C" w:rsidP="001A4D4C">
      <w:pPr>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lastRenderedPageBreak/>
        <w:t>《办法》分总则、筹资机制、保障内容、</w:t>
      </w:r>
      <w:r>
        <w:rPr>
          <w:rFonts w:ascii="仿宋_GB2312" w:eastAsia="仿宋_GB2312" w:hint="eastAsia"/>
          <w:sz w:val="32"/>
          <w:szCs w:val="32"/>
        </w:rPr>
        <w:t>经办管理与费用结算、监督管理和附则</w:t>
      </w:r>
      <w:r>
        <w:rPr>
          <w:rFonts w:ascii="仿宋_GB2312" w:eastAsia="仿宋_GB2312" w:hAnsi="宋体" w:hint="eastAsia"/>
          <w:sz w:val="32"/>
          <w:szCs w:val="32"/>
        </w:rPr>
        <w:t>共7章，从大病保险遵循原则、专项筹集、资金安排、保障对象、保障标准、保障范围、承办方式、合同管理、承办要求、报销方式、保费划拨、职能职责、监管控费、责任追究、争议处理等共22条，对相关内容进行阐述和明确。</w:t>
      </w:r>
    </w:p>
    <w:p w:rsidR="001A4D4C" w:rsidRDefault="001A4D4C" w:rsidP="001A4D4C">
      <w:pPr>
        <w:snapToGrid w:val="0"/>
        <w:spacing w:line="560" w:lineRule="exact"/>
        <w:ind w:firstLine="645"/>
        <w:rPr>
          <w:rFonts w:ascii="黑体" w:eastAsia="黑体" w:hAnsi="黑体"/>
          <w:sz w:val="32"/>
          <w:szCs w:val="32"/>
        </w:rPr>
      </w:pPr>
      <w:r>
        <w:rPr>
          <w:rFonts w:ascii="黑体" w:eastAsia="黑体" w:hAnsi="黑体" w:hint="eastAsia"/>
          <w:sz w:val="32"/>
          <w:szCs w:val="32"/>
        </w:rPr>
        <w:t>五、本办法与原新农合大病保险、城镇居民大病保险起付线和报销内容的变化对比说明</w:t>
      </w:r>
    </w:p>
    <w:p w:rsidR="001A4D4C" w:rsidRDefault="001A4D4C" w:rsidP="001A4D4C">
      <w:pPr>
        <w:snapToGrid w:val="0"/>
        <w:spacing w:line="560" w:lineRule="exact"/>
        <w:ind w:firstLine="645"/>
        <w:rPr>
          <w:rFonts w:ascii="仿宋_GB2312" w:eastAsia="仿宋_GB2312" w:hAnsi="黑体"/>
          <w:sz w:val="32"/>
          <w:szCs w:val="32"/>
        </w:rPr>
      </w:pPr>
      <w:r w:rsidRPr="000D1C54">
        <w:rPr>
          <w:rFonts w:ascii="楷体_GB2312" w:eastAsia="楷体_GB2312" w:hAnsi="黑体" w:hint="eastAsia"/>
          <w:b/>
          <w:sz w:val="32"/>
          <w:szCs w:val="32"/>
        </w:rPr>
        <w:t>（一）提高了起付线。</w:t>
      </w:r>
      <w:r>
        <w:rPr>
          <w:rFonts w:ascii="仿宋_GB2312" w:eastAsia="仿宋_GB2312" w:hAnsi="黑体" w:hint="eastAsia"/>
          <w:sz w:val="32"/>
          <w:szCs w:val="32"/>
        </w:rPr>
        <w:t>原来新农合大病保险和城镇居民大病保险的起付线均为8000元，本办法设置为1万元。主要考虑：</w:t>
      </w:r>
      <w:r>
        <w:rPr>
          <w:rFonts w:ascii="仿宋_GB2312" w:eastAsia="仿宋_GB2312" w:hAnsi="黑体" w:hint="eastAsia"/>
          <w:b/>
          <w:sz w:val="32"/>
          <w:szCs w:val="32"/>
        </w:rPr>
        <w:t>一是</w:t>
      </w:r>
      <w:r>
        <w:rPr>
          <w:rFonts w:ascii="仿宋_GB2312" w:eastAsia="仿宋_GB2312" w:hAnsi="黑体" w:hint="eastAsia"/>
          <w:sz w:val="32"/>
          <w:szCs w:val="32"/>
        </w:rPr>
        <w:t>8000元的起付线已经执行了3年，且新农合大病保险和城镇居民大病保险赔付增幅较快，大病保险筹资标准增幅也较快。根据三年来城镇居民、农村居民大病保险开展情况，尤其是对</w:t>
      </w:r>
      <w:proofErr w:type="gramStart"/>
      <w:r>
        <w:rPr>
          <w:rFonts w:ascii="仿宋_GB2312" w:eastAsia="仿宋_GB2312" w:hAnsi="黑体" w:hint="eastAsia"/>
          <w:sz w:val="32"/>
          <w:szCs w:val="32"/>
        </w:rPr>
        <w:t>医保扶贫</w:t>
      </w:r>
      <w:proofErr w:type="gramEnd"/>
      <w:r>
        <w:rPr>
          <w:rFonts w:ascii="仿宋_GB2312" w:eastAsia="仿宋_GB2312" w:hAnsi="黑体" w:hint="eastAsia"/>
          <w:sz w:val="32"/>
          <w:szCs w:val="32"/>
        </w:rPr>
        <w:t>的补偿情况，大病保险基金支付压力大幅增加，部分县区农村居民大病基金甚至出现收不抵支的情况，需要通过提高起付线，来缓解筹资压力，降低大病保险基金支付风险。</w:t>
      </w:r>
      <w:r>
        <w:rPr>
          <w:rFonts w:ascii="仿宋_GB2312" w:eastAsia="仿宋_GB2312" w:hAnsi="黑体" w:hint="eastAsia"/>
          <w:b/>
          <w:sz w:val="32"/>
          <w:szCs w:val="32"/>
        </w:rPr>
        <w:t>二是</w:t>
      </w:r>
      <w:r>
        <w:rPr>
          <w:rFonts w:ascii="仿宋_GB2312" w:eastAsia="仿宋_GB2312" w:hAnsi="黑体" w:hint="eastAsia"/>
          <w:sz w:val="32"/>
          <w:szCs w:val="32"/>
        </w:rPr>
        <w:t>根据国家和省对起付线设置的规定“</w:t>
      </w:r>
      <w:r>
        <w:rPr>
          <w:rFonts w:ascii="仿宋_GB2312" w:eastAsia="仿宋_GB2312" w:hint="eastAsia"/>
          <w:color w:val="000000"/>
          <w:sz w:val="32"/>
          <w:szCs w:val="32"/>
        </w:rPr>
        <w:t>参照当地统计部门公布的上一年度城镇居民、农村居民年人均可支配收入确定大病保险的起付标准，并根据城乡居民收入变化情况，建立起付标准动态调整机制</w:t>
      </w:r>
      <w:r>
        <w:rPr>
          <w:rFonts w:ascii="仿宋_GB2312" w:eastAsia="仿宋_GB2312" w:hAnsi="黑体" w:hint="eastAsia"/>
          <w:sz w:val="32"/>
          <w:szCs w:val="32"/>
        </w:rPr>
        <w:t>”。如果采用国家和</w:t>
      </w:r>
      <w:proofErr w:type="gramStart"/>
      <w:r>
        <w:rPr>
          <w:rFonts w:ascii="仿宋_GB2312" w:eastAsia="仿宋_GB2312" w:hAnsi="黑体" w:hint="eastAsia"/>
          <w:sz w:val="32"/>
          <w:szCs w:val="32"/>
        </w:rPr>
        <w:t>省文件</w:t>
      </w:r>
      <w:proofErr w:type="gramEnd"/>
      <w:r>
        <w:rPr>
          <w:rFonts w:ascii="仿宋_GB2312" w:eastAsia="仿宋_GB2312" w:hAnsi="黑体" w:hint="eastAsia"/>
          <w:sz w:val="32"/>
          <w:szCs w:val="32"/>
        </w:rPr>
        <w:t>用上年全市</w:t>
      </w:r>
      <w:r>
        <w:rPr>
          <w:rFonts w:ascii="仿宋_GB2312" w:eastAsia="仿宋_GB2312" w:hint="eastAsia"/>
          <w:color w:val="000000"/>
          <w:sz w:val="32"/>
          <w:szCs w:val="32"/>
        </w:rPr>
        <w:t>城镇居民或者</w:t>
      </w:r>
      <w:r>
        <w:rPr>
          <w:rFonts w:ascii="仿宋_GB2312" w:eastAsia="仿宋_GB2312" w:hAnsi="黑体" w:hint="eastAsia"/>
          <w:sz w:val="32"/>
          <w:szCs w:val="32"/>
        </w:rPr>
        <w:t>农村</w:t>
      </w:r>
      <w:r>
        <w:rPr>
          <w:rFonts w:ascii="仿宋_GB2312" w:eastAsia="仿宋_GB2312" w:hint="eastAsia"/>
          <w:color w:val="000000"/>
          <w:sz w:val="32"/>
          <w:szCs w:val="32"/>
        </w:rPr>
        <w:t>人均可支配收入</w:t>
      </w:r>
      <w:r>
        <w:rPr>
          <w:rFonts w:ascii="仿宋_GB2312" w:eastAsia="仿宋_GB2312" w:hAnsi="黑体" w:hint="eastAsia"/>
          <w:sz w:val="32"/>
          <w:szCs w:val="32"/>
        </w:rPr>
        <w:t>为起付线（2016年绵阳市城镇居民</w:t>
      </w:r>
      <w:r>
        <w:rPr>
          <w:rFonts w:ascii="仿宋_GB2312" w:eastAsia="仿宋_GB2312" w:hint="eastAsia"/>
          <w:color w:val="000000"/>
          <w:sz w:val="32"/>
          <w:szCs w:val="32"/>
        </w:rPr>
        <w:t>人均可支配收入为</w:t>
      </w:r>
      <w:r>
        <w:rPr>
          <w:rFonts w:ascii="仿宋_GB2312" w:eastAsia="仿宋_GB2312" w:hAnsi="Arial" w:cs="Arial" w:hint="eastAsia"/>
          <w:color w:val="333333"/>
          <w:sz w:val="32"/>
          <w:szCs w:val="32"/>
          <w:shd w:val="clear" w:color="auto" w:fill="FFFFFF"/>
        </w:rPr>
        <w:t>29407、</w:t>
      </w:r>
      <w:r>
        <w:rPr>
          <w:rFonts w:ascii="仿宋_GB2312" w:eastAsia="仿宋_GB2312" w:hAnsi="黑体" w:hint="eastAsia"/>
          <w:sz w:val="32"/>
          <w:szCs w:val="32"/>
        </w:rPr>
        <w:t>农村居民</w:t>
      </w:r>
      <w:r>
        <w:rPr>
          <w:rFonts w:ascii="仿宋_GB2312" w:eastAsia="仿宋_GB2312" w:hint="eastAsia"/>
          <w:color w:val="000000"/>
          <w:sz w:val="32"/>
          <w:szCs w:val="32"/>
        </w:rPr>
        <w:t>人均可支配收入</w:t>
      </w:r>
      <w:r>
        <w:rPr>
          <w:rFonts w:ascii="仿宋_GB2312" w:eastAsia="仿宋_GB2312" w:hAnsi="黑体" w:hint="eastAsia"/>
          <w:sz w:val="32"/>
          <w:szCs w:val="32"/>
        </w:rPr>
        <w:t>为13504元），则调整太大，也将导致参保居民待遇报销实际获得感降低，恐引发参保居</w:t>
      </w:r>
      <w:r>
        <w:rPr>
          <w:rFonts w:ascii="仿宋_GB2312" w:eastAsia="仿宋_GB2312" w:hAnsi="黑体" w:hint="eastAsia"/>
          <w:sz w:val="32"/>
          <w:szCs w:val="32"/>
        </w:rPr>
        <w:lastRenderedPageBreak/>
        <w:t>民不满和信访。</w:t>
      </w:r>
      <w:r>
        <w:rPr>
          <w:rFonts w:ascii="仿宋_GB2312" w:eastAsia="仿宋_GB2312" w:hAnsi="黑体" w:hint="eastAsia"/>
          <w:b/>
          <w:bCs/>
          <w:sz w:val="32"/>
          <w:szCs w:val="32"/>
        </w:rPr>
        <w:t>三是</w:t>
      </w:r>
      <w:r>
        <w:rPr>
          <w:rFonts w:ascii="仿宋_GB2312" w:eastAsia="仿宋_GB2312" w:hAnsi="黑体" w:hint="eastAsia"/>
          <w:sz w:val="32"/>
          <w:szCs w:val="32"/>
        </w:rPr>
        <w:t>其他市州的大病保险起付线7000-1.2万元之间。综合</w:t>
      </w:r>
      <w:proofErr w:type="gramStart"/>
      <w:r>
        <w:rPr>
          <w:rFonts w:ascii="仿宋_GB2312" w:eastAsia="仿宋_GB2312" w:hAnsi="黑体" w:hint="eastAsia"/>
          <w:sz w:val="32"/>
          <w:szCs w:val="32"/>
        </w:rPr>
        <w:t>研</w:t>
      </w:r>
      <w:proofErr w:type="gramEnd"/>
      <w:r>
        <w:rPr>
          <w:rFonts w:ascii="仿宋_GB2312" w:eastAsia="仿宋_GB2312" w:hAnsi="黑体" w:hint="eastAsia"/>
          <w:sz w:val="32"/>
          <w:szCs w:val="32"/>
        </w:rPr>
        <w:t>判，将大病保险起付线设置为1万元，既符合国家省政策、也符合社会经济发展实际，和其他市州相比居中，不会引起参保居民的太大反应。</w:t>
      </w:r>
    </w:p>
    <w:p w:rsidR="001A4D4C" w:rsidRPr="000D1C54" w:rsidRDefault="001A4D4C" w:rsidP="001A4D4C">
      <w:pPr>
        <w:snapToGrid w:val="0"/>
        <w:spacing w:line="560" w:lineRule="exact"/>
        <w:ind w:firstLine="645"/>
        <w:rPr>
          <w:rFonts w:ascii="楷体_GB2312" w:eastAsia="楷体_GB2312" w:hAnsi="黑体" w:hint="eastAsia"/>
          <w:b/>
          <w:sz w:val="32"/>
          <w:szCs w:val="32"/>
        </w:rPr>
      </w:pPr>
      <w:r w:rsidRPr="000D1C54">
        <w:rPr>
          <w:rFonts w:ascii="楷体_GB2312" w:eastAsia="楷体_GB2312" w:hAnsi="黑体" w:hint="eastAsia"/>
          <w:b/>
          <w:sz w:val="32"/>
          <w:szCs w:val="32"/>
        </w:rPr>
        <w:t>（二）调整了分段报销比例</w:t>
      </w:r>
    </w:p>
    <w:p w:rsidR="001A4D4C" w:rsidRDefault="001A4D4C" w:rsidP="001A4D4C">
      <w:pPr>
        <w:snapToGrid w:val="0"/>
        <w:spacing w:line="560" w:lineRule="exact"/>
        <w:ind w:firstLine="645"/>
        <w:rPr>
          <w:rFonts w:ascii="仿宋_GB2312" w:eastAsia="仿宋_GB2312" w:hAnsi="黑体"/>
          <w:sz w:val="32"/>
          <w:szCs w:val="32"/>
        </w:rPr>
      </w:pPr>
      <w:r w:rsidRPr="00837509">
        <w:rPr>
          <w:rFonts w:ascii="仿宋_GB2312" w:eastAsia="仿宋_GB2312" w:hAnsi="黑体" w:hint="eastAsia"/>
          <w:b/>
          <w:sz w:val="32"/>
          <w:szCs w:val="32"/>
        </w:rPr>
        <w:t>1.政策对比。</w:t>
      </w:r>
      <w:r>
        <w:rPr>
          <w:rFonts w:ascii="仿宋_GB2312" w:eastAsia="仿宋_GB2312" w:hAnsi="黑体" w:hint="eastAsia"/>
          <w:sz w:val="32"/>
          <w:szCs w:val="32"/>
        </w:rPr>
        <w:t>原来城镇居民大病保险普通住院报销部分政策为：起付线以上至2.8万元报销50%、2.8万-4.8万报销60%、4.8-6.8万报销70%、6.8万元以上报销80%，普通住院大病保险每年限额5万元；超过基本</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保最高支付限额的合</w:t>
      </w:r>
      <w:proofErr w:type="gramStart"/>
      <w:r>
        <w:rPr>
          <w:rFonts w:ascii="仿宋_GB2312" w:eastAsia="仿宋_GB2312" w:hAnsi="黑体" w:hint="eastAsia"/>
          <w:sz w:val="32"/>
          <w:szCs w:val="32"/>
        </w:rPr>
        <w:t>规</w:t>
      </w:r>
      <w:proofErr w:type="gramEnd"/>
      <w:r>
        <w:rPr>
          <w:rFonts w:ascii="仿宋_GB2312" w:eastAsia="仿宋_GB2312" w:hAnsi="黑体" w:hint="eastAsia"/>
          <w:sz w:val="32"/>
          <w:szCs w:val="32"/>
        </w:rPr>
        <w:t>医疗费用，按照50%报销，不设封顶线；患尿毒症、肺癌、食道癌、胃癌等20种重大疾病的由基本</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保报销后的合</w:t>
      </w:r>
      <w:proofErr w:type="gramStart"/>
      <w:r>
        <w:rPr>
          <w:rFonts w:ascii="仿宋_GB2312" w:eastAsia="仿宋_GB2312" w:hAnsi="黑体" w:hint="eastAsia"/>
          <w:sz w:val="32"/>
          <w:szCs w:val="32"/>
        </w:rPr>
        <w:t>规</w:t>
      </w:r>
      <w:proofErr w:type="gramEnd"/>
      <w:r>
        <w:rPr>
          <w:rFonts w:ascii="仿宋_GB2312" w:eastAsia="仿宋_GB2312" w:hAnsi="黑体" w:hint="eastAsia"/>
          <w:sz w:val="32"/>
          <w:szCs w:val="32"/>
        </w:rPr>
        <w:t>医疗费用，由大病保险报销50%，不设封顶线。新农合大病保险的政策是：起付线至2万元报销55%、2-5万报销65%、5-10万报销75%、10万以上报销85%，不设封顶线。</w:t>
      </w:r>
    </w:p>
    <w:p w:rsidR="001A4D4C" w:rsidRDefault="001A4D4C" w:rsidP="001A4D4C">
      <w:pPr>
        <w:snapToGrid w:val="0"/>
        <w:spacing w:line="560" w:lineRule="exact"/>
        <w:ind w:firstLine="645"/>
        <w:rPr>
          <w:rFonts w:ascii="仿宋_GB2312" w:eastAsia="仿宋_GB2312" w:hAnsi="黑体" w:hint="eastAsia"/>
          <w:sz w:val="32"/>
          <w:szCs w:val="32"/>
        </w:rPr>
      </w:pPr>
      <w:r w:rsidRPr="00837509">
        <w:rPr>
          <w:rFonts w:ascii="仿宋_GB2312" w:eastAsia="仿宋_GB2312" w:hAnsi="黑体" w:hint="eastAsia"/>
          <w:b/>
          <w:sz w:val="32"/>
          <w:szCs w:val="32"/>
        </w:rPr>
        <w:t>2.调整结果。</w:t>
      </w:r>
      <w:r>
        <w:rPr>
          <w:rFonts w:ascii="仿宋_GB2312" w:eastAsia="仿宋_GB2312" w:hAnsi="黑体" w:hint="eastAsia"/>
          <w:sz w:val="32"/>
          <w:szCs w:val="32"/>
        </w:rPr>
        <w:t>本办法中，沿用了新农合大病保险的报销政策，同时也参考了其他市州的报销政策。即只设置分段报销政策，取消超过基本</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保封顶线后的报销政策、重大疾病报销政策。具体设置为起付线以上至3万报销50%、3-6万报销60%、6-10万报销70%、10万以上报销80%。不设封顶线。</w:t>
      </w:r>
    </w:p>
    <w:p w:rsidR="001A4D4C" w:rsidRDefault="001A4D4C" w:rsidP="001A4D4C">
      <w:pPr>
        <w:snapToGrid w:val="0"/>
        <w:spacing w:line="560" w:lineRule="exact"/>
        <w:ind w:firstLine="645"/>
        <w:rPr>
          <w:rFonts w:ascii="仿宋_GB2312" w:eastAsia="仿宋_GB2312" w:hAnsi="黑体"/>
          <w:sz w:val="32"/>
          <w:szCs w:val="32"/>
        </w:rPr>
      </w:pPr>
      <w:r w:rsidRPr="00837509">
        <w:rPr>
          <w:rFonts w:ascii="仿宋_GB2312" w:eastAsia="仿宋_GB2312" w:hAnsi="黑体" w:hint="eastAsia"/>
          <w:b/>
          <w:sz w:val="32"/>
          <w:szCs w:val="32"/>
        </w:rPr>
        <w:t>3.调整原因。</w:t>
      </w:r>
      <w:r>
        <w:rPr>
          <w:rFonts w:ascii="仿宋_GB2312" w:eastAsia="仿宋_GB2312" w:hAnsi="黑体" w:hint="eastAsia"/>
          <w:sz w:val="32"/>
          <w:szCs w:val="32"/>
        </w:rPr>
        <w:t>一是原城镇居民大病保险设置了报销的小封顶，且报销后重新计算起付线，</w:t>
      </w:r>
      <w:proofErr w:type="gramStart"/>
      <w:r>
        <w:rPr>
          <w:rFonts w:ascii="仿宋_GB2312" w:eastAsia="仿宋_GB2312" w:hAnsi="黑体" w:hint="eastAsia"/>
          <w:sz w:val="32"/>
          <w:szCs w:val="32"/>
        </w:rPr>
        <w:t>虽一定</w:t>
      </w:r>
      <w:proofErr w:type="gramEnd"/>
      <w:r>
        <w:rPr>
          <w:rFonts w:ascii="仿宋_GB2312" w:eastAsia="仿宋_GB2312" w:hAnsi="黑体" w:hint="eastAsia"/>
          <w:sz w:val="32"/>
          <w:szCs w:val="32"/>
        </w:rPr>
        <w:t>程度上结余大病基金，但未完全起到减轻居民罹患大病负担的作用。二是新农合大病保险和其他市州的大病保险政策，均只有分段设置报</w:t>
      </w:r>
      <w:r>
        <w:rPr>
          <w:rFonts w:ascii="仿宋_GB2312" w:eastAsia="仿宋_GB2312" w:hAnsi="黑体" w:hint="eastAsia"/>
          <w:sz w:val="32"/>
          <w:szCs w:val="32"/>
        </w:rPr>
        <w:lastRenderedPageBreak/>
        <w:t>销比例报销内容，未设封顶线。三是根据</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保系统2015-2016年的城镇居民</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保数据（附后），测算得出的有关数据，设置本办法的分段报销，计算得出的大病保险筹资标准与省内市州相比差别较小，基金也可承受。</w:t>
      </w:r>
    </w:p>
    <w:p w:rsidR="001A4D4C" w:rsidRDefault="001A4D4C" w:rsidP="001A4D4C">
      <w:pPr>
        <w:snapToGrid w:val="0"/>
        <w:spacing w:line="560" w:lineRule="exact"/>
        <w:ind w:firstLine="645"/>
        <w:rPr>
          <w:rFonts w:ascii="黑体" w:eastAsia="黑体" w:hAnsi="黑体"/>
          <w:sz w:val="32"/>
          <w:szCs w:val="32"/>
        </w:rPr>
      </w:pPr>
      <w:r>
        <w:rPr>
          <w:rFonts w:ascii="黑体" w:eastAsia="黑体" w:hAnsi="黑体" w:hint="eastAsia"/>
          <w:sz w:val="32"/>
          <w:szCs w:val="32"/>
        </w:rPr>
        <w:t>六、意见采纳情况</w:t>
      </w:r>
    </w:p>
    <w:p w:rsidR="001A4D4C" w:rsidRDefault="001A4D4C" w:rsidP="001A4D4C">
      <w:pPr>
        <w:snapToGrid w:val="0"/>
        <w:spacing w:line="560" w:lineRule="exact"/>
        <w:ind w:firstLine="645"/>
        <w:rPr>
          <w:rFonts w:ascii="仿宋_GB2312" w:eastAsia="仿宋_GB2312" w:hAnsi="宋体"/>
          <w:sz w:val="32"/>
          <w:szCs w:val="32"/>
        </w:rPr>
      </w:pPr>
      <w:r>
        <w:rPr>
          <w:rFonts w:ascii="仿宋_GB2312" w:eastAsia="仿宋_GB2312" w:hAnsi="宋体" w:hint="eastAsia"/>
          <w:sz w:val="32"/>
          <w:szCs w:val="32"/>
        </w:rPr>
        <w:t>共收到15条建议意见，其中卫计委1条、财政局4条、审计局7条、</w:t>
      </w:r>
      <w:proofErr w:type="gramStart"/>
      <w:r>
        <w:rPr>
          <w:rFonts w:ascii="仿宋_GB2312" w:eastAsia="仿宋_GB2312" w:hAnsi="宋体" w:hint="eastAsia"/>
          <w:sz w:val="32"/>
          <w:szCs w:val="32"/>
        </w:rPr>
        <w:t>医</w:t>
      </w:r>
      <w:proofErr w:type="gramEnd"/>
      <w:r>
        <w:rPr>
          <w:rFonts w:ascii="仿宋_GB2312" w:eastAsia="仿宋_GB2312" w:hAnsi="宋体" w:hint="eastAsia"/>
          <w:sz w:val="32"/>
          <w:szCs w:val="32"/>
        </w:rPr>
        <w:t>保局1条、县市区2条，采纳和部分采纳14条，1条未采纳，具体附后。</w:t>
      </w: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widowControl w:val="0"/>
        <w:spacing w:line="580" w:lineRule="exact"/>
        <w:jc w:val="center"/>
        <w:rPr>
          <w:rFonts w:ascii="方正小标宋简体" w:eastAsia="方正小标宋简体"/>
          <w:bCs/>
          <w:color w:val="000000"/>
          <w:sz w:val="36"/>
          <w:szCs w:val="36"/>
        </w:rPr>
      </w:pPr>
      <w:r>
        <w:rPr>
          <w:rFonts w:ascii="方正小标宋简体" w:eastAsia="方正小标宋简体" w:hint="eastAsia"/>
          <w:sz w:val="36"/>
          <w:szCs w:val="36"/>
        </w:rPr>
        <w:lastRenderedPageBreak/>
        <w:t>市级相关部门及局系统对《</w:t>
      </w:r>
      <w:r>
        <w:rPr>
          <w:rStyle w:val="a3"/>
          <w:rFonts w:ascii="方正小标宋简体" w:eastAsia="方正小标宋简体" w:hint="eastAsia"/>
          <w:b w:val="0"/>
          <w:color w:val="000000"/>
          <w:sz w:val="36"/>
          <w:szCs w:val="36"/>
        </w:rPr>
        <w:t>绵阳市城乡居民大病保险管理办法</w:t>
      </w:r>
      <w:r>
        <w:rPr>
          <w:rFonts w:ascii="方正小标宋简体" w:eastAsia="方正小标宋简体" w:hint="eastAsia"/>
          <w:color w:val="000000"/>
          <w:sz w:val="36"/>
          <w:szCs w:val="36"/>
        </w:rPr>
        <w:t>（征求意见稿）</w:t>
      </w:r>
      <w:r>
        <w:rPr>
          <w:rFonts w:ascii="方正小标宋简体" w:eastAsia="方正小标宋简体" w:hint="eastAsia"/>
          <w:sz w:val="36"/>
          <w:szCs w:val="36"/>
        </w:rPr>
        <w:t>》的意见建议汇总表</w:t>
      </w:r>
    </w:p>
    <w:p w:rsidR="001A4D4C" w:rsidRDefault="001A4D4C" w:rsidP="001A4D4C">
      <w:pPr>
        <w:pStyle w:val="p0"/>
        <w:widowControl w:val="0"/>
        <w:snapToGrid w:val="0"/>
        <w:ind w:firstLineChars="1625" w:firstLine="3413"/>
        <w:rPr>
          <w:rFonts w:ascii="Times New Roman" w:eastAsia="仿宋_GB2312" w:hAnsi="Times New Roma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5784"/>
        <w:gridCol w:w="2722"/>
      </w:tblGrid>
      <w:tr w:rsidR="001A4D4C" w:rsidTr="00461847">
        <w:trPr>
          <w:trHeight w:val="489"/>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Default="001A4D4C" w:rsidP="00461847">
            <w:pPr>
              <w:jc w:val="center"/>
              <w:rPr>
                <w:rFonts w:ascii="黑体" w:eastAsia="黑体" w:hAnsi="宋体"/>
                <w:sz w:val="28"/>
                <w:szCs w:val="28"/>
              </w:rPr>
            </w:pPr>
            <w:r>
              <w:rPr>
                <w:rFonts w:ascii="黑体" w:eastAsia="黑体" w:hAnsi="宋体" w:hint="eastAsia"/>
                <w:sz w:val="28"/>
                <w:szCs w:val="28"/>
              </w:rPr>
              <w:t>部门</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Default="001A4D4C" w:rsidP="00461847">
            <w:pPr>
              <w:jc w:val="center"/>
              <w:rPr>
                <w:rFonts w:ascii="黑体" w:eastAsia="黑体" w:hAnsi="宋体"/>
                <w:sz w:val="28"/>
                <w:szCs w:val="28"/>
              </w:rPr>
            </w:pPr>
            <w:r>
              <w:rPr>
                <w:rFonts w:ascii="黑体" w:eastAsia="黑体" w:hAnsi="宋体" w:hint="eastAsia"/>
                <w:sz w:val="28"/>
                <w:szCs w:val="28"/>
              </w:rPr>
              <w:t>建议意见</w:t>
            </w:r>
          </w:p>
        </w:tc>
        <w:tc>
          <w:tcPr>
            <w:tcW w:w="2722" w:type="dxa"/>
            <w:tcBorders>
              <w:top w:val="single" w:sz="4" w:space="0" w:color="000000"/>
              <w:left w:val="single" w:sz="4" w:space="0" w:color="000000"/>
              <w:bottom w:val="single" w:sz="4" w:space="0" w:color="000000"/>
              <w:right w:val="single" w:sz="4" w:space="0" w:color="000000"/>
            </w:tcBorders>
            <w:vAlign w:val="center"/>
          </w:tcPr>
          <w:p w:rsidR="001A4D4C" w:rsidRDefault="001A4D4C" w:rsidP="00461847">
            <w:pPr>
              <w:jc w:val="center"/>
              <w:rPr>
                <w:rFonts w:ascii="黑体" w:eastAsia="黑体" w:hAnsi="宋体"/>
                <w:sz w:val="28"/>
                <w:szCs w:val="28"/>
              </w:rPr>
            </w:pPr>
            <w:r>
              <w:rPr>
                <w:rFonts w:ascii="黑体" w:eastAsia="黑体" w:hAnsi="宋体" w:hint="eastAsia"/>
                <w:sz w:val="28"/>
                <w:szCs w:val="28"/>
              </w:rPr>
              <w:t>采纳情况</w:t>
            </w:r>
          </w:p>
        </w:tc>
      </w:tr>
      <w:tr w:rsidR="001A4D4C" w:rsidTr="00461847">
        <w:trPr>
          <w:trHeight w:val="420"/>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市卫计委</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napToGrid w:val="0"/>
              <w:spacing w:line="260" w:lineRule="exact"/>
              <w:rPr>
                <w:rFonts w:ascii="仿宋_GB2312" w:eastAsia="仿宋_GB2312" w:hAnsi="宋体" w:hint="eastAsia"/>
                <w:szCs w:val="21"/>
              </w:rPr>
            </w:pPr>
            <w:r w:rsidRPr="00837509">
              <w:rPr>
                <w:rFonts w:ascii="仿宋_GB2312" w:eastAsia="仿宋_GB2312" w:hAnsi="宋体" w:hint="eastAsia"/>
                <w:szCs w:val="21"/>
              </w:rPr>
              <w:t>建议对建档立</w:t>
            </w:r>
            <w:proofErr w:type="gramStart"/>
            <w:r w:rsidRPr="00837509">
              <w:rPr>
                <w:rFonts w:ascii="仿宋_GB2312" w:eastAsia="仿宋_GB2312" w:hAnsi="宋体" w:hint="eastAsia"/>
                <w:szCs w:val="21"/>
              </w:rPr>
              <w:t>卡贫困</w:t>
            </w:r>
            <w:proofErr w:type="gramEnd"/>
            <w:r w:rsidRPr="00837509">
              <w:rPr>
                <w:rFonts w:ascii="仿宋_GB2312" w:eastAsia="仿宋_GB2312" w:hAnsi="宋体" w:hint="eastAsia"/>
                <w:szCs w:val="21"/>
              </w:rPr>
              <w:t>人口的大病保险予以一定政策支持。</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部分采纳（单独出台建档立</w:t>
            </w:r>
            <w:proofErr w:type="gramStart"/>
            <w:r w:rsidRPr="00837509">
              <w:rPr>
                <w:rFonts w:ascii="仿宋_GB2312" w:eastAsia="仿宋_GB2312" w:hAnsi="宋体" w:hint="eastAsia"/>
                <w:szCs w:val="21"/>
              </w:rPr>
              <w:t>卡贫困人员医</w:t>
            </w:r>
            <w:proofErr w:type="gramEnd"/>
            <w:r w:rsidRPr="00837509">
              <w:rPr>
                <w:rFonts w:ascii="仿宋_GB2312" w:eastAsia="仿宋_GB2312" w:hAnsi="宋体" w:hint="eastAsia"/>
                <w:szCs w:val="21"/>
              </w:rPr>
              <w:t>保倾斜政策）</w:t>
            </w:r>
          </w:p>
        </w:tc>
      </w:tr>
      <w:tr w:rsidR="001A4D4C" w:rsidTr="00461847">
        <w:trPr>
          <w:trHeight w:val="427"/>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市民政局</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无意见</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p>
        </w:tc>
      </w:tr>
      <w:tr w:rsidR="001A4D4C" w:rsidTr="00461847">
        <w:trPr>
          <w:trHeight w:val="405"/>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市财政局</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1.建议第二章第六条明确“合作期限内上调幅度不能超过40%”</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2. 第八条，建议将第三章第八条中“不设最高支付限额”修改为“原则上不设最高支付限额”。</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3.第十条，建议在“通过公开招标选定。。。。。”前增加市人力资源社会保障部门。</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4.第十七条</w:t>
            </w:r>
            <w:proofErr w:type="gramStart"/>
            <w:r w:rsidRPr="00837509">
              <w:rPr>
                <w:rFonts w:ascii="仿宋_GB2312" w:eastAsia="仿宋_GB2312" w:hAnsi="宋体" w:hint="eastAsia"/>
                <w:szCs w:val="21"/>
              </w:rPr>
              <w:t>监管控费部分</w:t>
            </w:r>
            <w:proofErr w:type="gramEnd"/>
            <w:r w:rsidRPr="00837509">
              <w:rPr>
                <w:rFonts w:ascii="仿宋_GB2312" w:eastAsia="仿宋_GB2312" w:hAnsi="宋体" w:hint="eastAsia"/>
                <w:szCs w:val="21"/>
              </w:rPr>
              <w:t>，“通过商业保险机构审核的违规医疗费用，由</w:t>
            </w:r>
            <w:proofErr w:type="gramStart"/>
            <w:r w:rsidRPr="00837509">
              <w:rPr>
                <w:rFonts w:ascii="仿宋_GB2312" w:eastAsia="仿宋_GB2312" w:hAnsi="宋体" w:hint="eastAsia"/>
                <w:szCs w:val="21"/>
              </w:rPr>
              <w:t>医</w:t>
            </w:r>
            <w:proofErr w:type="gramEnd"/>
            <w:r w:rsidRPr="00837509">
              <w:rPr>
                <w:rFonts w:ascii="仿宋_GB2312" w:eastAsia="仿宋_GB2312" w:hAnsi="宋体" w:hint="eastAsia"/>
                <w:szCs w:val="21"/>
              </w:rPr>
              <w:t>保经办机构所在地财政按10-20%的比例安排奖励经费”建议修改为“通过商业保险机构审核的违规医疗费用，由</w:t>
            </w:r>
            <w:proofErr w:type="gramStart"/>
            <w:r w:rsidRPr="00837509">
              <w:rPr>
                <w:rFonts w:ascii="仿宋_GB2312" w:eastAsia="仿宋_GB2312" w:hAnsi="宋体" w:hint="eastAsia"/>
                <w:szCs w:val="21"/>
              </w:rPr>
              <w:t>医</w:t>
            </w:r>
            <w:proofErr w:type="gramEnd"/>
            <w:r w:rsidRPr="00837509">
              <w:rPr>
                <w:rFonts w:ascii="仿宋_GB2312" w:eastAsia="仿宋_GB2312" w:hAnsi="宋体" w:hint="eastAsia"/>
                <w:szCs w:val="21"/>
              </w:rPr>
              <w:t>保经办机构所在地财政按10%的比例安排奖励经费”</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1.采纳</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2.不采纳，单独请示过省</w:t>
            </w:r>
            <w:proofErr w:type="gramStart"/>
            <w:r w:rsidRPr="00837509">
              <w:rPr>
                <w:rFonts w:ascii="仿宋_GB2312" w:eastAsia="仿宋_GB2312" w:hAnsi="宋体" w:hint="eastAsia"/>
                <w:szCs w:val="21"/>
              </w:rPr>
              <w:t>人社厅医</w:t>
            </w:r>
            <w:proofErr w:type="gramEnd"/>
            <w:r w:rsidRPr="00837509">
              <w:rPr>
                <w:rFonts w:ascii="仿宋_GB2312" w:eastAsia="仿宋_GB2312" w:hAnsi="宋体" w:hint="eastAsia"/>
                <w:szCs w:val="21"/>
              </w:rPr>
              <w:t>保处，要求城乡居民大病保险不设置最高支付限额，且其他市州均未设置。</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3.采纳</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4.采纳</w:t>
            </w:r>
          </w:p>
        </w:tc>
      </w:tr>
      <w:tr w:rsidR="001A4D4C" w:rsidTr="00461847">
        <w:trPr>
          <w:trHeight w:val="405"/>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p>
        </w:tc>
      </w:tr>
      <w:tr w:rsidR="001A4D4C" w:rsidTr="00461847">
        <w:trPr>
          <w:trHeight w:val="750"/>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市审计局</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1.建议将第六条“。。。年上调幅度不超过20%”调整为“。。。年度上调幅度不超过20%”；</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2.建议将第八条“。。。由大病保险资金按表中比例进行分段进行支付”调整为“。。。由大病保险资金按本办法规定比例进行分段支付（见下表）”；</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3.建议将第九条“。。。具体包括”修改为“。。。是指”；</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4.建议将第十条“承办方式。原则上通过公开招标选择。。。。。”修改为“承办方式。通过公开招标选择。。。。”</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5.建议将第十二条中增加约束中标承办大病保险的商业保险公司清算行为的内容，避免保险公司履行合同过程中不及时向</w:t>
            </w:r>
            <w:proofErr w:type="gramStart"/>
            <w:r w:rsidRPr="00837509">
              <w:rPr>
                <w:rFonts w:ascii="仿宋_GB2312" w:eastAsia="仿宋_GB2312" w:hAnsi="宋体" w:hint="eastAsia"/>
                <w:szCs w:val="21"/>
              </w:rPr>
              <w:t>医</w:t>
            </w:r>
            <w:proofErr w:type="gramEnd"/>
            <w:r w:rsidRPr="00837509">
              <w:rPr>
                <w:rFonts w:ascii="仿宋_GB2312" w:eastAsia="仿宋_GB2312" w:hAnsi="宋体" w:hint="eastAsia"/>
                <w:szCs w:val="21"/>
              </w:rPr>
              <w:t>保经办机构提供理赔资料，</w:t>
            </w:r>
            <w:proofErr w:type="gramStart"/>
            <w:r w:rsidRPr="00837509">
              <w:rPr>
                <w:rFonts w:ascii="仿宋_GB2312" w:eastAsia="仿宋_GB2312" w:hAnsi="宋体" w:hint="eastAsia"/>
                <w:szCs w:val="21"/>
              </w:rPr>
              <w:t>医</w:t>
            </w:r>
            <w:proofErr w:type="gramEnd"/>
            <w:r w:rsidRPr="00837509">
              <w:rPr>
                <w:rFonts w:ascii="仿宋_GB2312" w:eastAsia="仿宋_GB2312" w:hAnsi="宋体" w:hint="eastAsia"/>
                <w:szCs w:val="21"/>
              </w:rPr>
              <w:t>保经办机构无法掌握大病保险报销的详细情况，散失管理监督基础条件。</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6.建议将第十六条“审计部门负责对基金管理和使用实行全程审计监督”修改为“审计部门依法对基金管理和使用情况进行审计监督”；</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7.建议将十八条“违法处理”修改为“责任追究”。</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全部采纳</w:t>
            </w:r>
          </w:p>
        </w:tc>
      </w:tr>
      <w:tr w:rsidR="001A4D4C" w:rsidTr="00461847">
        <w:trPr>
          <w:trHeight w:val="750"/>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市保险行业协会</w:t>
            </w:r>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无意见</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p>
        </w:tc>
      </w:tr>
      <w:tr w:rsidR="001A4D4C" w:rsidTr="00461847">
        <w:trPr>
          <w:trHeight w:val="750"/>
        </w:trPr>
        <w:tc>
          <w:tcPr>
            <w:tcW w:w="1135"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县市区、园区</w:t>
            </w:r>
            <w:proofErr w:type="gramStart"/>
            <w:r w:rsidRPr="00837509">
              <w:rPr>
                <w:rFonts w:ascii="仿宋_GB2312" w:eastAsia="仿宋_GB2312" w:hAnsi="宋体" w:hint="eastAsia"/>
                <w:szCs w:val="21"/>
              </w:rPr>
              <w:t>人社部门</w:t>
            </w:r>
            <w:proofErr w:type="gramEnd"/>
          </w:p>
        </w:tc>
        <w:tc>
          <w:tcPr>
            <w:tcW w:w="578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1.建议对建档立</w:t>
            </w:r>
            <w:proofErr w:type="gramStart"/>
            <w:r w:rsidRPr="00837509">
              <w:rPr>
                <w:rFonts w:ascii="仿宋_GB2312" w:eastAsia="仿宋_GB2312" w:hAnsi="宋体" w:hint="eastAsia"/>
                <w:szCs w:val="21"/>
              </w:rPr>
              <w:t>卡贫困</w:t>
            </w:r>
            <w:proofErr w:type="gramEnd"/>
            <w:r w:rsidRPr="00837509">
              <w:rPr>
                <w:rFonts w:ascii="仿宋_GB2312" w:eastAsia="仿宋_GB2312" w:hAnsi="宋体" w:hint="eastAsia"/>
                <w:szCs w:val="21"/>
              </w:rPr>
              <w:t>人员进行政策倾斜</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2.建议增加“商业保险机构每月向县市区</w:t>
            </w:r>
            <w:proofErr w:type="gramStart"/>
            <w:r w:rsidRPr="00837509">
              <w:rPr>
                <w:rFonts w:ascii="仿宋_GB2312" w:eastAsia="仿宋_GB2312" w:hAnsi="宋体" w:hint="eastAsia"/>
                <w:szCs w:val="21"/>
              </w:rPr>
              <w:t>医</w:t>
            </w:r>
            <w:proofErr w:type="gramEnd"/>
            <w:r w:rsidRPr="00837509">
              <w:rPr>
                <w:rFonts w:ascii="仿宋_GB2312" w:eastAsia="仿宋_GB2312" w:hAnsi="宋体" w:hint="eastAsia"/>
                <w:szCs w:val="21"/>
              </w:rPr>
              <w:t>保经办机构报送大病保险赔付报表”</w:t>
            </w:r>
          </w:p>
        </w:tc>
        <w:tc>
          <w:tcPr>
            <w:tcW w:w="2722" w:type="dxa"/>
            <w:tcBorders>
              <w:top w:val="single" w:sz="4" w:space="0" w:color="000000"/>
              <w:left w:val="single" w:sz="4" w:space="0" w:color="000000"/>
              <w:bottom w:val="single" w:sz="4" w:space="0" w:color="000000"/>
              <w:right w:val="single" w:sz="4" w:space="0" w:color="000000"/>
            </w:tcBorders>
          </w:tcPr>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1.部分采纳（单独出台建档立</w:t>
            </w:r>
            <w:proofErr w:type="gramStart"/>
            <w:r w:rsidRPr="00837509">
              <w:rPr>
                <w:rFonts w:ascii="仿宋_GB2312" w:eastAsia="仿宋_GB2312" w:hAnsi="宋体" w:hint="eastAsia"/>
                <w:szCs w:val="21"/>
              </w:rPr>
              <w:t>卡贫困人员医</w:t>
            </w:r>
            <w:proofErr w:type="gramEnd"/>
            <w:r w:rsidRPr="00837509">
              <w:rPr>
                <w:rFonts w:ascii="仿宋_GB2312" w:eastAsia="仿宋_GB2312" w:hAnsi="宋体" w:hint="eastAsia"/>
                <w:szCs w:val="21"/>
              </w:rPr>
              <w:t>保倾斜政策）</w:t>
            </w:r>
          </w:p>
          <w:p w:rsidR="001A4D4C" w:rsidRPr="00837509" w:rsidRDefault="001A4D4C" w:rsidP="00461847">
            <w:pPr>
              <w:spacing w:line="260" w:lineRule="exact"/>
              <w:rPr>
                <w:rFonts w:ascii="仿宋_GB2312" w:eastAsia="仿宋_GB2312" w:hAnsi="宋体" w:hint="eastAsia"/>
                <w:szCs w:val="21"/>
              </w:rPr>
            </w:pPr>
            <w:r w:rsidRPr="00837509">
              <w:rPr>
                <w:rFonts w:ascii="仿宋_GB2312" w:eastAsia="仿宋_GB2312" w:hAnsi="宋体" w:hint="eastAsia"/>
                <w:szCs w:val="21"/>
              </w:rPr>
              <w:t>2.采纳</w:t>
            </w:r>
          </w:p>
        </w:tc>
      </w:tr>
    </w:tbl>
    <w:p w:rsidR="001A4D4C" w:rsidRDefault="001A4D4C" w:rsidP="001A4D4C">
      <w:pPr>
        <w:rPr>
          <w:rFonts w:hint="eastAsia"/>
        </w:rPr>
      </w:pPr>
    </w:p>
    <w:p w:rsidR="001A4D4C" w:rsidRDefault="001A4D4C" w:rsidP="001A4D4C">
      <w:pPr>
        <w:rPr>
          <w:rFonts w:hint="eastAsia"/>
        </w:rPr>
      </w:pPr>
    </w:p>
    <w:p w:rsidR="001A4D4C" w:rsidRDefault="001A4D4C" w:rsidP="001A4D4C">
      <w:pPr>
        <w:rPr>
          <w:rFonts w:hint="eastAsia"/>
        </w:rPr>
      </w:pPr>
    </w:p>
    <w:p w:rsidR="001A4D4C" w:rsidRDefault="001A4D4C" w:rsidP="001A4D4C"/>
    <w:tbl>
      <w:tblPr>
        <w:tblpPr w:leftFromText="180" w:rightFromText="180" w:vertAnchor="text" w:horzAnchor="page" w:tblpX="1053" w:tblpY="1186"/>
        <w:tblOverlap w:val="never"/>
        <w:tblW w:w="10269" w:type="dxa"/>
        <w:tblLayout w:type="fixed"/>
        <w:tblCellMar>
          <w:top w:w="15" w:type="dxa"/>
          <w:left w:w="15" w:type="dxa"/>
          <w:bottom w:w="15" w:type="dxa"/>
          <w:right w:w="15" w:type="dxa"/>
        </w:tblCellMar>
        <w:tblLook w:val="0000"/>
      </w:tblPr>
      <w:tblGrid>
        <w:gridCol w:w="1343"/>
        <w:gridCol w:w="1507"/>
        <w:gridCol w:w="1150"/>
        <w:gridCol w:w="306"/>
        <w:gridCol w:w="1483"/>
        <w:gridCol w:w="38"/>
        <w:gridCol w:w="1381"/>
        <w:gridCol w:w="482"/>
        <w:gridCol w:w="2579"/>
      </w:tblGrid>
      <w:tr w:rsidR="001A4D4C" w:rsidRPr="00837509" w:rsidTr="001A4D4C">
        <w:trPr>
          <w:trHeight w:val="840"/>
        </w:trPr>
        <w:tc>
          <w:tcPr>
            <w:tcW w:w="10269" w:type="dxa"/>
            <w:gridSpan w:val="9"/>
            <w:tcBorders>
              <w:top w:val="single" w:sz="12" w:space="0" w:color="000000"/>
              <w:left w:val="single" w:sz="12" w:space="0" w:color="000000"/>
              <w:right w:val="single" w:sz="12" w:space="0" w:color="000000"/>
            </w:tcBorders>
            <w:vAlign w:val="center"/>
          </w:tcPr>
          <w:p w:rsidR="001A4D4C" w:rsidRPr="00837509" w:rsidRDefault="001A4D4C" w:rsidP="00461847">
            <w:pPr>
              <w:widowControl/>
              <w:ind w:firstLineChars="900" w:firstLine="2891"/>
              <w:textAlignment w:val="center"/>
              <w:rPr>
                <w:rFonts w:ascii="仿宋_GB2312" w:eastAsia="仿宋_GB2312" w:hAnsi="方正小标宋简体" w:cs="方正小标宋简体" w:hint="eastAsia"/>
                <w:b/>
                <w:color w:val="000000"/>
                <w:sz w:val="32"/>
                <w:szCs w:val="32"/>
              </w:rPr>
            </w:pPr>
            <w:r w:rsidRPr="00837509">
              <w:rPr>
                <w:rFonts w:ascii="仿宋_GB2312" w:eastAsia="仿宋_GB2312" w:hAnsi="方正小标宋简体" w:cs="方正小标宋简体" w:hint="eastAsia"/>
                <w:b/>
                <w:color w:val="000000"/>
                <w:sz w:val="32"/>
                <w:szCs w:val="32"/>
              </w:rPr>
              <w:lastRenderedPageBreak/>
              <w:t>1.2015年-2016年数据测算表</w:t>
            </w:r>
          </w:p>
          <w:p w:rsidR="001A4D4C" w:rsidRPr="00837509" w:rsidRDefault="001A4D4C" w:rsidP="00461847">
            <w:pPr>
              <w:widowControl/>
              <w:ind w:firstLineChars="650" w:firstLine="2088"/>
              <w:textAlignment w:val="center"/>
              <w:rPr>
                <w:rFonts w:ascii="仿宋_GB2312" w:eastAsia="仿宋_GB2312" w:hAnsi="方正小标宋简体" w:cs="方正小标宋简体" w:hint="eastAsia"/>
                <w:color w:val="000000"/>
                <w:sz w:val="32"/>
                <w:szCs w:val="32"/>
              </w:rPr>
            </w:pPr>
            <w:r w:rsidRPr="00837509">
              <w:rPr>
                <w:rFonts w:ascii="仿宋_GB2312" w:eastAsia="仿宋_GB2312" w:hAnsi="方正小标宋简体" w:cs="方正小标宋简体" w:hint="eastAsia"/>
                <w:b/>
                <w:color w:val="000000"/>
                <w:sz w:val="32"/>
                <w:szCs w:val="32"/>
              </w:rPr>
              <w:t>（按8千元和1万元分别作为起付线测算）</w:t>
            </w:r>
          </w:p>
        </w:tc>
      </w:tr>
      <w:tr w:rsidR="001A4D4C" w:rsidRPr="00837509" w:rsidTr="001A4D4C">
        <w:trPr>
          <w:trHeight w:val="285"/>
        </w:trPr>
        <w:tc>
          <w:tcPr>
            <w:tcW w:w="4000" w:type="dxa"/>
            <w:gridSpan w:val="3"/>
            <w:tcBorders>
              <w:lef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统计范围：全市城镇居民基本</w:t>
            </w:r>
            <w:proofErr w:type="gramStart"/>
            <w:r w:rsidRPr="00837509">
              <w:rPr>
                <w:rFonts w:ascii="仿宋_GB2312" w:eastAsia="仿宋_GB2312" w:hAnsi="宋体" w:cs="宋体" w:hint="eastAsia"/>
                <w:color w:val="000000"/>
                <w:kern w:val="0"/>
                <w:sz w:val="24"/>
              </w:rPr>
              <w:t>医</w:t>
            </w:r>
            <w:proofErr w:type="gramEnd"/>
            <w:r w:rsidRPr="00837509">
              <w:rPr>
                <w:rFonts w:ascii="仿宋_GB2312" w:eastAsia="仿宋_GB2312" w:hAnsi="宋体" w:cs="宋体" w:hint="eastAsia"/>
                <w:color w:val="000000"/>
                <w:kern w:val="0"/>
                <w:sz w:val="24"/>
              </w:rPr>
              <w:t>保</w:t>
            </w:r>
          </w:p>
        </w:tc>
        <w:tc>
          <w:tcPr>
            <w:tcW w:w="1789" w:type="dxa"/>
            <w:gridSpan w:val="2"/>
            <w:vAlign w:val="center"/>
          </w:tcPr>
          <w:p w:rsidR="001A4D4C" w:rsidRPr="00837509" w:rsidRDefault="001A4D4C" w:rsidP="00461847">
            <w:pPr>
              <w:rPr>
                <w:rFonts w:ascii="仿宋_GB2312" w:eastAsia="仿宋_GB2312" w:hAnsi="宋体" w:cs="宋体" w:hint="eastAsia"/>
                <w:color w:val="000000"/>
                <w:sz w:val="24"/>
              </w:rPr>
            </w:pPr>
          </w:p>
        </w:tc>
        <w:tc>
          <w:tcPr>
            <w:tcW w:w="1419" w:type="dxa"/>
            <w:gridSpan w:val="2"/>
            <w:vAlign w:val="center"/>
          </w:tcPr>
          <w:p w:rsidR="001A4D4C" w:rsidRPr="00837509" w:rsidRDefault="001A4D4C" w:rsidP="00461847">
            <w:pPr>
              <w:rPr>
                <w:rFonts w:ascii="仿宋_GB2312" w:eastAsia="仿宋_GB2312" w:hAnsi="宋体" w:cs="宋体" w:hint="eastAsia"/>
                <w:color w:val="000000"/>
                <w:sz w:val="24"/>
              </w:rPr>
            </w:pPr>
          </w:p>
        </w:tc>
        <w:tc>
          <w:tcPr>
            <w:tcW w:w="3061" w:type="dxa"/>
            <w:gridSpan w:val="2"/>
            <w:tcBorders>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单位：万元、人</w:t>
            </w:r>
          </w:p>
        </w:tc>
      </w:tr>
      <w:tr w:rsidR="001A4D4C" w:rsidRPr="00837509" w:rsidTr="001A4D4C">
        <w:trPr>
          <w:trHeight w:val="487"/>
        </w:trPr>
        <w:tc>
          <w:tcPr>
            <w:tcW w:w="1343" w:type="dxa"/>
            <w:vMerge w:val="restart"/>
            <w:tcBorders>
              <w:top w:val="single" w:sz="4" w:space="0" w:color="000000"/>
              <w:left w:val="single" w:sz="12"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年度</w:t>
            </w:r>
          </w:p>
        </w:tc>
        <w:tc>
          <w:tcPr>
            <w:tcW w:w="8926" w:type="dxa"/>
            <w:gridSpan w:val="8"/>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2"/>
                <w:szCs w:val="22"/>
              </w:rPr>
            </w:pPr>
            <w:r w:rsidRPr="00837509">
              <w:rPr>
                <w:rFonts w:ascii="仿宋_GB2312" w:eastAsia="仿宋_GB2312" w:hAnsi="宋体" w:cs="宋体" w:hint="eastAsia"/>
                <w:color w:val="000000"/>
                <w:kern w:val="0"/>
                <w:sz w:val="22"/>
                <w:szCs w:val="22"/>
              </w:rPr>
              <w:t>起付线、自付费用（比例自付+特种自付）费用当年单次或累计超0.8万元/1万元部分</w:t>
            </w:r>
          </w:p>
        </w:tc>
      </w:tr>
      <w:tr w:rsidR="001A4D4C" w:rsidRPr="00837509" w:rsidTr="001A4D4C">
        <w:trPr>
          <w:trHeight w:val="718"/>
        </w:trPr>
        <w:tc>
          <w:tcPr>
            <w:tcW w:w="1343" w:type="dxa"/>
            <w:vMerge/>
            <w:tcBorders>
              <w:top w:val="single" w:sz="4" w:space="0" w:color="000000"/>
              <w:left w:val="single" w:sz="12"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分段</w:t>
            </w:r>
          </w:p>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（万元）</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该段发生费用</w:t>
            </w:r>
          </w:p>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（万元）</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发生人次</w:t>
            </w:r>
          </w:p>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（人）</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补充</w:t>
            </w:r>
            <w:proofErr w:type="gramStart"/>
            <w:r w:rsidRPr="00837509">
              <w:rPr>
                <w:rFonts w:ascii="仿宋_GB2312" w:eastAsia="仿宋_GB2312" w:hAnsi="宋体" w:cs="宋体" w:hint="eastAsia"/>
                <w:color w:val="000000"/>
                <w:kern w:val="0"/>
                <w:sz w:val="24"/>
              </w:rPr>
              <w:t>医</w:t>
            </w:r>
            <w:proofErr w:type="gramEnd"/>
            <w:r w:rsidRPr="00837509">
              <w:rPr>
                <w:rFonts w:ascii="仿宋_GB2312" w:eastAsia="仿宋_GB2312" w:hAnsi="宋体" w:cs="宋体" w:hint="eastAsia"/>
                <w:color w:val="000000"/>
                <w:kern w:val="0"/>
                <w:sz w:val="24"/>
              </w:rPr>
              <w:t>保</w:t>
            </w:r>
            <w:r w:rsidRPr="00837509">
              <w:rPr>
                <w:rFonts w:ascii="仿宋_GB2312" w:eastAsia="仿宋_GB2312" w:hAnsi="宋体" w:cs="宋体" w:hint="eastAsia"/>
                <w:color w:val="000000"/>
                <w:kern w:val="0"/>
                <w:sz w:val="24"/>
              </w:rPr>
              <w:br/>
              <w:t>报销比例政策</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全年累计报销金额</w:t>
            </w:r>
          </w:p>
          <w:p w:rsidR="001A4D4C" w:rsidRPr="00837509" w:rsidRDefault="001A4D4C" w:rsidP="00461847">
            <w:pPr>
              <w:widowControl/>
              <w:jc w:val="center"/>
              <w:textAlignment w:val="center"/>
              <w:rPr>
                <w:rFonts w:ascii="仿宋_GB2312" w:eastAsia="仿宋_GB2312" w:hAnsi="宋体" w:cs="宋体" w:hint="eastAsia"/>
                <w:color w:val="000000"/>
                <w:kern w:val="0"/>
                <w:sz w:val="22"/>
                <w:szCs w:val="22"/>
              </w:rPr>
            </w:pPr>
            <w:r w:rsidRPr="00837509">
              <w:rPr>
                <w:rFonts w:ascii="仿宋_GB2312" w:eastAsia="仿宋_GB2312" w:hAnsi="宋体" w:cs="宋体" w:hint="eastAsia"/>
                <w:color w:val="000000"/>
                <w:kern w:val="0"/>
                <w:sz w:val="22"/>
                <w:szCs w:val="22"/>
              </w:rPr>
              <w:t>（万元）</w:t>
            </w:r>
          </w:p>
        </w:tc>
      </w:tr>
      <w:tr w:rsidR="001A4D4C" w:rsidRPr="00837509" w:rsidTr="001A4D4C">
        <w:trPr>
          <w:trHeight w:val="285"/>
        </w:trPr>
        <w:tc>
          <w:tcPr>
            <w:tcW w:w="1343" w:type="dxa"/>
            <w:vMerge w:val="restart"/>
            <w:tcBorders>
              <w:top w:val="single" w:sz="4" w:space="0" w:color="000000"/>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2015年</w:t>
            </w:r>
          </w:p>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（超</w:t>
            </w:r>
            <w:r w:rsidRPr="00837509">
              <w:rPr>
                <w:rFonts w:ascii="仿宋_GB2312" w:eastAsia="仿宋_GB2312" w:hAnsi="宋体" w:cs="宋体" w:hint="eastAsia"/>
                <w:b/>
                <w:color w:val="000000"/>
                <w:kern w:val="0"/>
                <w:sz w:val="24"/>
              </w:rPr>
              <w:t>8000</w:t>
            </w:r>
            <w:r w:rsidRPr="00837509">
              <w:rPr>
                <w:rFonts w:ascii="仿宋_GB2312" w:eastAsia="仿宋_GB2312" w:hAnsi="宋体" w:cs="宋体" w:hint="eastAsia"/>
                <w:color w:val="000000"/>
                <w:kern w:val="0"/>
                <w:sz w:val="24"/>
              </w:rPr>
              <w:t>元部分）</w:t>
            </w:r>
          </w:p>
          <w:p w:rsidR="001A4D4C" w:rsidRPr="00837509" w:rsidRDefault="001A4D4C" w:rsidP="00461847">
            <w:pPr>
              <w:widowControl/>
              <w:jc w:val="center"/>
              <w:textAlignment w:val="center"/>
              <w:rPr>
                <w:rFonts w:ascii="仿宋_GB2312" w:eastAsia="仿宋_GB2312" w:hAnsi="宋体" w:cs="宋体" w:hint="eastAsia"/>
                <w:b/>
                <w:color w:val="000000"/>
                <w:kern w:val="0"/>
                <w:sz w:val="24"/>
              </w:rPr>
            </w:pPr>
            <w:r w:rsidRPr="00837509">
              <w:rPr>
                <w:rFonts w:ascii="仿宋_GB2312" w:eastAsia="仿宋_GB2312" w:hAnsi="宋体" w:cs="宋体" w:hint="eastAsia"/>
                <w:b/>
                <w:color w:val="000000"/>
                <w:kern w:val="0"/>
                <w:sz w:val="24"/>
              </w:rPr>
              <w:t>参保人数76.5万</w:t>
            </w: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0.8-3（含）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51670295.41</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3600</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50%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11435147.71</w:t>
            </w:r>
          </w:p>
        </w:tc>
      </w:tr>
      <w:tr w:rsidR="001A4D4C" w:rsidRPr="00837509" w:rsidTr="001A4D4C">
        <w:trPr>
          <w:trHeight w:val="28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3-5（含）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13574039.78</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359</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60%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7785423.86</w:t>
            </w:r>
          </w:p>
        </w:tc>
      </w:tr>
      <w:tr w:rsidR="001A4D4C" w:rsidRPr="00837509" w:rsidTr="001A4D4C">
        <w:trPr>
          <w:trHeight w:val="28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5-10（含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8240292.91</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127</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70%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4244205.03</w:t>
            </w:r>
          </w:p>
        </w:tc>
      </w:tr>
      <w:tr w:rsidR="001A4D4C" w:rsidRPr="00837509" w:rsidTr="001A4D4C">
        <w:trPr>
          <w:trHeight w:val="28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10以上</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4238198.43</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24</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2862558.74</w:t>
            </w:r>
          </w:p>
        </w:tc>
      </w:tr>
      <w:tr w:rsidR="001A4D4C" w:rsidRPr="00837509" w:rsidTr="001A4D4C">
        <w:trPr>
          <w:trHeight w:val="285"/>
        </w:trPr>
        <w:tc>
          <w:tcPr>
            <w:tcW w:w="1343" w:type="dxa"/>
            <w:vMerge/>
            <w:tcBorders>
              <w:left w:val="single" w:sz="12"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人均筹资标准</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34.41</w:t>
            </w:r>
            <w:r w:rsidRPr="00837509">
              <w:rPr>
                <w:rFonts w:ascii="仿宋_GB2312" w:eastAsia="仿宋_GB2312" w:hAnsi="宋体" w:cs="宋体" w:hint="eastAsia"/>
                <w:color w:val="000000"/>
                <w:kern w:val="0"/>
                <w:sz w:val="24"/>
              </w:rPr>
              <w:t>元（按100%净赔付）</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合计</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b/>
                <w:color w:val="000000"/>
                <w:kern w:val="0"/>
                <w:sz w:val="24"/>
              </w:rPr>
            </w:pPr>
            <w:r w:rsidRPr="00837509">
              <w:rPr>
                <w:rFonts w:ascii="仿宋_GB2312" w:eastAsia="仿宋_GB2312" w:hAnsi="宋体" w:cs="宋体" w:hint="eastAsia"/>
                <w:b/>
                <w:color w:val="000000"/>
                <w:kern w:val="0"/>
                <w:sz w:val="24"/>
              </w:rPr>
              <w:t>2633.03万元</w:t>
            </w:r>
          </w:p>
        </w:tc>
      </w:tr>
      <w:tr w:rsidR="001A4D4C" w:rsidRPr="00837509" w:rsidTr="001A4D4C">
        <w:trPr>
          <w:trHeight w:val="285"/>
        </w:trPr>
        <w:tc>
          <w:tcPr>
            <w:tcW w:w="1343" w:type="dxa"/>
            <w:vMerge w:val="restart"/>
            <w:tcBorders>
              <w:top w:val="single" w:sz="4" w:space="0" w:color="000000"/>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34.42015年</w:t>
            </w:r>
          </w:p>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（超</w:t>
            </w:r>
            <w:r w:rsidRPr="00837509">
              <w:rPr>
                <w:rFonts w:ascii="仿宋_GB2312" w:eastAsia="仿宋_GB2312" w:hAnsi="宋体" w:cs="宋体" w:hint="eastAsia"/>
                <w:b/>
                <w:color w:val="000000"/>
                <w:kern w:val="0"/>
                <w:sz w:val="24"/>
              </w:rPr>
              <w:t>10000</w:t>
            </w:r>
            <w:r w:rsidRPr="00837509">
              <w:rPr>
                <w:rFonts w:ascii="仿宋_GB2312" w:eastAsia="仿宋_GB2312" w:hAnsi="宋体" w:cs="宋体" w:hint="eastAsia"/>
                <w:color w:val="000000"/>
                <w:kern w:val="0"/>
                <w:sz w:val="24"/>
              </w:rPr>
              <w:t>元部分）</w:t>
            </w:r>
          </w:p>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参保人数76.5万</w:t>
            </w: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0.8-3（含）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42720912.45</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2596</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50%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8380456.23</w:t>
            </w:r>
          </w:p>
        </w:tc>
      </w:tr>
      <w:tr w:rsidR="001A4D4C" w:rsidRPr="00837509" w:rsidTr="001A4D4C">
        <w:trPr>
          <w:trHeight w:val="28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3-5（含）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13574039.78</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359</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60%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7426423.87</w:t>
            </w:r>
          </w:p>
        </w:tc>
      </w:tr>
      <w:tr w:rsidR="001A4D4C" w:rsidRPr="00837509" w:rsidTr="001A4D4C">
        <w:trPr>
          <w:trHeight w:val="285"/>
        </w:trPr>
        <w:tc>
          <w:tcPr>
            <w:tcW w:w="1343" w:type="dxa"/>
            <w:vMerge/>
            <w:tcBorders>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5-10（含）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8240292.91</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127</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70%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4117205.03</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10以上</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4238198.43</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24</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80%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sz w:val="24"/>
              </w:rPr>
              <w:t>2838558.74</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人均筹资标准</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29.75</w:t>
            </w:r>
            <w:r w:rsidRPr="00837509">
              <w:rPr>
                <w:rFonts w:ascii="仿宋_GB2312" w:eastAsia="仿宋_GB2312" w:hAnsi="宋体" w:cs="宋体" w:hint="eastAsia"/>
                <w:color w:val="000000"/>
                <w:kern w:val="0"/>
                <w:sz w:val="24"/>
              </w:rPr>
              <w:t>元（按100%净赔付）</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合计</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b/>
                <w:color w:val="000000"/>
                <w:kern w:val="0"/>
                <w:sz w:val="24"/>
              </w:rPr>
            </w:pPr>
            <w:r w:rsidRPr="00837509">
              <w:rPr>
                <w:rFonts w:ascii="仿宋_GB2312" w:eastAsia="仿宋_GB2312" w:hAnsi="宋体" w:cs="宋体" w:hint="eastAsia"/>
                <w:b/>
                <w:color w:val="000000"/>
                <w:kern w:val="0"/>
                <w:sz w:val="24"/>
              </w:rPr>
              <w:t>2276.26万元</w:t>
            </w:r>
          </w:p>
        </w:tc>
      </w:tr>
      <w:tr w:rsidR="001A4D4C" w:rsidRPr="00837509" w:rsidTr="001A4D4C">
        <w:trPr>
          <w:trHeight w:val="405"/>
        </w:trPr>
        <w:tc>
          <w:tcPr>
            <w:tcW w:w="1343" w:type="dxa"/>
            <w:vMerge w:val="restart"/>
            <w:tcBorders>
              <w:top w:val="single" w:sz="4" w:space="0" w:color="000000"/>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2016年</w:t>
            </w:r>
          </w:p>
          <w:p w:rsidR="001A4D4C" w:rsidRPr="00837509" w:rsidRDefault="001A4D4C" w:rsidP="00461847">
            <w:pPr>
              <w:jc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（超8000元部分）</w:t>
            </w:r>
          </w:p>
          <w:p w:rsidR="001A4D4C" w:rsidRPr="00837509" w:rsidRDefault="001A4D4C" w:rsidP="00461847">
            <w:pPr>
              <w:jc w:val="center"/>
              <w:rPr>
                <w:rFonts w:ascii="仿宋_GB2312" w:eastAsia="仿宋_GB2312" w:hAnsi="宋体" w:cs="宋体" w:hint="eastAsia"/>
                <w:color w:val="000000"/>
                <w:sz w:val="24"/>
              </w:rPr>
            </w:pPr>
            <w:r w:rsidRPr="00837509">
              <w:rPr>
                <w:rFonts w:ascii="仿宋_GB2312" w:eastAsia="仿宋_GB2312" w:hAnsi="宋体" w:cs="宋体" w:hint="eastAsia"/>
                <w:b/>
                <w:color w:val="000000"/>
                <w:kern w:val="0"/>
                <w:sz w:val="24"/>
              </w:rPr>
              <w:t>参保人数83.04万</w:t>
            </w: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1-3（含）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65333118.71</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4514</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50%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14610559.36</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3-5（含）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21856810.7</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586</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60%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12528086.42</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5-10（含）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11072123.49</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175</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70%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5650494.14</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10以上</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4906177.94</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33</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3198942.35</w:t>
            </w:r>
          </w:p>
        </w:tc>
      </w:tr>
      <w:tr w:rsidR="001A4D4C" w:rsidRPr="00837509" w:rsidTr="001A4D4C">
        <w:trPr>
          <w:trHeight w:val="405"/>
        </w:trPr>
        <w:tc>
          <w:tcPr>
            <w:tcW w:w="1343" w:type="dxa"/>
            <w:vMerge/>
            <w:tcBorders>
              <w:left w:val="single" w:sz="12"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人均筹资标准</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41.8</w:t>
            </w:r>
            <w:r w:rsidRPr="00837509">
              <w:rPr>
                <w:rFonts w:ascii="仿宋_GB2312" w:eastAsia="仿宋_GB2312" w:hAnsi="宋体" w:cs="宋体" w:hint="eastAsia"/>
                <w:color w:val="000000"/>
                <w:kern w:val="0"/>
                <w:sz w:val="24"/>
              </w:rPr>
              <w:t>3元（按100%净赔付）</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合计</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3598.87万元</w:t>
            </w:r>
          </w:p>
        </w:tc>
      </w:tr>
      <w:tr w:rsidR="001A4D4C" w:rsidRPr="00837509" w:rsidTr="001A4D4C">
        <w:trPr>
          <w:trHeight w:val="405"/>
        </w:trPr>
        <w:tc>
          <w:tcPr>
            <w:tcW w:w="1343" w:type="dxa"/>
            <w:vMerge w:val="restart"/>
            <w:tcBorders>
              <w:top w:val="single" w:sz="4" w:space="0" w:color="000000"/>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2016年</w:t>
            </w:r>
          </w:p>
          <w:p w:rsidR="001A4D4C" w:rsidRPr="00837509" w:rsidRDefault="001A4D4C" w:rsidP="00461847">
            <w:pPr>
              <w:jc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（超10000元部分）</w:t>
            </w:r>
          </w:p>
          <w:p w:rsidR="001A4D4C" w:rsidRPr="00837509" w:rsidRDefault="001A4D4C" w:rsidP="00461847">
            <w:pPr>
              <w:jc w:val="center"/>
              <w:rPr>
                <w:rFonts w:ascii="仿宋_GB2312" w:eastAsia="仿宋_GB2312" w:hAnsi="宋体" w:cs="宋体" w:hint="eastAsia"/>
                <w:color w:val="000000"/>
                <w:sz w:val="24"/>
              </w:rPr>
            </w:pPr>
            <w:r w:rsidRPr="00837509">
              <w:rPr>
                <w:rFonts w:ascii="仿宋_GB2312" w:eastAsia="仿宋_GB2312" w:hAnsi="宋体" w:cs="宋体" w:hint="eastAsia"/>
                <w:b/>
                <w:color w:val="000000"/>
                <w:kern w:val="0"/>
                <w:sz w:val="24"/>
              </w:rPr>
              <w:t>参保人数83.04万</w:t>
            </w: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1-3（含）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54226750.48</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3271</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50%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10758375.24</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3-5（含）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21856810.7</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586</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60%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11942086.24</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5-10（含）</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11072134.49</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175</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70%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5475494.14</w:t>
            </w:r>
          </w:p>
        </w:tc>
      </w:tr>
      <w:tr w:rsidR="001A4D4C" w:rsidRPr="00837509" w:rsidTr="001A4D4C">
        <w:trPr>
          <w:trHeight w:val="405"/>
        </w:trPr>
        <w:tc>
          <w:tcPr>
            <w:tcW w:w="1343"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10以上</w:t>
            </w:r>
          </w:p>
        </w:tc>
        <w:tc>
          <w:tcPr>
            <w:tcW w:w="1456"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4906177.94</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33</w:t>
            </w:r>
          </w:p>
        </w:tc>
        <w:tc>
          <w:tcPr>
            <w:tcW w:w="1863" w:type="dxa"/>
            <w:gridSpan w:val="2"/>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80%</w:t>
            </w:r>
          </w:p>
        </w:tc>
        <w:tc>
          <w:tcPr>
            <w:tcW w:w="2579"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3165942.35</w:t>
            </w:r>
          </w:p>
        </w:tc>
      </w:tr>
      <w:tr w:rsidR="001A4D4C" w:rsidRPr="00837509" w:rsidTr="001A4D4C">
        <w:trPr>
          <w:trHeight w:val="405"/>
        </w:trPr>
        <w:tc>
          <w:tcPr>
            <w:tcW w:w="1343" w:type="dxa"/>
            <w:vMerge/>
            <w:tcBorders>
              <w:left w:val="single" w:sz="12" w:space="0" w:color="000000"/>
              <w:bottom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07" w:type="dxa"/>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人均筹资标准</w:t>
            </w:r>
          </w:p>
        </w:tc>
        <w:tc>
          <w:tcPr>
            <w:tcW w:w="2977" w:type="dxa"/>
            <w:gridSpan w:val="4"/>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b/>
                <w:color w:val="000000"/>
                <w:kern w:val="0"/>
                <w:sz w:val="24"/>
              </w:rPr>
              <w:t>36.43</w:t>
            </w:r>
            <w:r w:rsidRPr="00837509">
              <w:rPr>
                <w:rFonts w:ascii="仿宋_GB2312" w:eastAsia="仿宋_GB2312" w:hAnsi="宋体" w:cs="宋体" w:hint="eastAsia"/>
                <w:color w:val="000000"/>
                <w:kern w:val="0"/>
                <w:sz w:val="24"/>
              </w:rPr>
              <w:t>元（按100%净赔付）</w:t>
            </w:r>
          </w:p>
        </w:tc>
        <w:tc>
          <w:tcPr>
            <w:tcW w:w="1863" w:type="dxa"/>
            <w:gridSpan w:val="2"/>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合计</w:t>
            </w:r>
          </w:p>
        </w:tc>
        <w:tc>
          <w:tcPr>
            <w:tcW w:w="2579" w:type="dxa"/>
            <w:tcBorders>
              <w:top w:val="single" w:sz="4" w:space="0" w:color="000000"/>
              <w:left w:val="single" w:sz="4" w:space="0" w:color="000000"/>
              <w:bottom w:val="single" w:sz="12"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b/>
                <w:color w:val="000000"/>
                <w:kern w:val="0"/>
                <w:sz w:val="24"/>
              </w:rPr>
            </w:pPr>
            <w:r w:rsidRPr="00837509">
              <w:rPr>
                <w:rFonts w:ascii="仿宋_GB2312" w:eastAsia="仿宋_GB2312" w:hAnsi="宋体" w:cs="宋体" w:hint="eastAsia"/>
                <w:b/>
                <w:color w:val="000000"/>
                <w:kern w:val="0"/>
                <w:sz w:val="24"/>
              </w:rPr>
              <w:t>3134.19万元</w:t>
            </w:r>
          </w:p>
        </w:tc>
      </w:tr>
    </w:tbl>
    <w:p w:rsidR="001A4D4C" w:rsidRDefault="001A4D4C" w:rsidP="001A4D4C">
      <w:pPr>
        <w:pStyle w:val="a4"/>
        <w:spacing w:line="600" w:lineRule="exact"/>
        <w:jc w:val="center"/>
        <w:rPr>
          <w:rStyle w:val="a3"/>
          <w:rFonts w:ascii="黑体" w:eastAsia="黑体" w:hAnsi="新宋体" w:hint="eastAsia"/>
          <w:b w:val="0"/>
          <w:color w:val="000000"/>
          <w:sz w:val="32"/>
          <w:szCs w:val="32"/>
        </w:rPr>
      </w:pPr>
      <w:r>
        <w:rPr>
          <w:rFonts w:ascii="方正小标宋简体" w:eastAsia="方正小标宋简体" w:hint="eastAsia"/>
          <w:sz w:val="44"/>
          <w:szCs w:val="44"/>
        </w:rPr>
        <w:t>数据测算表</w:t>
      </w:r>
    </w:p>
    <w:p w:rsidR="001A4D4C" w:rsidRDefault="001A4D4C" w:rsidP="001A4D4C">
      <w:pPr>
        <w:snapToGrid w:val="0"/>
        <w:spacing w:line="520" w:lineRule="exact"/>
        <w:ind w:firstLine="645"/>
        <w:jc w:val="left"/>
        <w:rPr>
          <w:rFonts w:ascii="仿宋_GB2312" w:eastAsia="仿宋_GB2312" w:hAnsi="黑体" w:hint="eastAsia"/>
          <w:sz w:val="32"/>
          <w:szCs w:val="32"/>
        </w:rPr>
      </w:pPr>
    </w:p>
    <w:p w:rsidR="001A4D4C" w:rsidRDefault="001A4D4C" w:rsidP="001A4D4C">
      <w:pPr>
        <w:snapToGrid w:val="0"/>
        <w:spacing w:line="520" w:lineRule="exact"/>
        <w:ind w:firstLine="645"/>
        <w:jc w:val="left"/>
        <w:rPr>
          <w:rFonts w:ascii="仿宋_GB2312" w:eastAsia="仿宋_GB2312" w:hAnsi="黑体" w:hint="eastAsia"/>
          <w:sz w:val="32"/>
          <w:szCs w:val="32"/>
        </w:rPr>
      </w:pPr>
      <w:r>
        <w:rPr>
          <w:rFonts w:ascii="仿宋_GB2312" w:eastAsia="仿宋_GB2312" w:hAnsi="黑体" w:hint="eastAsia"/>
          <w:sz w:val="32"/>
          <w:szCs w:val="32"/>
        </w:rPr>
        <w:t>因新农合基药目录与</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保目录差别较大，新农合数据参考性不大。故选取居民</w:t>
      </w:r>
      <w:proofErr w:type="gramStart"/>
      <w:r>
        <w:rPr>
          <w:rFonts w:ascii="仿宋_GB2312" w:eastAsia="仿宋_GB2312" w:hAnsi="黑体" w:hint="eastAsia"/>
          <w:sz w:val="32"/>
          <w:szCs w:val="32"/>
        </w:rPr>
        <w:t>医保数据</w:t>
      </w:r>
      <w:proofErr w:type="gramEnd"/>
      <w:r>
        <w:rPr>
          <w:rFonts w:ascii="仿宋_GB2312" w:eastAsia="仿宋_GB2312" w:hAnsi="黑体" w:hint="eastAsia"/>
          <w:sz w:val="32"/>
          <w:szCs w:val="32"/>
        </w:rPr>
        <w:t>进行测算。</w:t>
      </w:r>
    </w:p>
    <w:p w:rsidR="001A4D4C" w:rsidRDefault="001A4D4C" w:rsidP="001A4D4C">
      <w:pPr>
        <w:snapToGrid w:val="0"/>
        <w:spacing w:line="520" w:lineRule="exact"/>
        <w:ind w:firstLine="645"/>
        <w:jc w:val="left"/>
        <w:rPr>
          <w:rFonts w:ascii="仿宋_GB2312" w:eastAsia="仿宋_GB2312" w:hAnsi="黑体" w:hint="eastAsia"/>
          <w:sz w:val="32"/>
          <w:szCs w:val="32"/>
        </w:rPr>
      </w:pPr>
      <w:r>
        <w:rPr>
          <w:rFonts w:ascii="仿宋_GB2312" w:eastAsia="仿宋_GB2312" w:hAnsi="黑体" w:hint="eastAsia"/>
          <w:sz w:val="32"/>
          <w:szCs w:val="32"/>
        </w:rPr>
        <w:t>从上表数据，可以得出，起付线不能再按8千元确定，</w:t>
      </w:r>
      <w:r>
        <w:rPr>
          <w:rFonts w:ascii="仿宋_GB2312" w:eastAsia="仿宋_GB2312" w:hAnsi="黑体" w:hint="eastAsia"/>
          <w:sz w:val="32"/>
          <w:szCs w:val="32"/>
        </w:rPr>
        <w:lastRenderedPageBreak/>
        <w:t>考虑到原来居民和新农合大病保险起付线均未8千元，已经执行了3年，按照国家和省大病保险文件精神，起付标准可以动态调整，且可参照上年度全市城镇居民或农村居民人均年收入作为标准，但考虑到我市城镇居民和农村居民年人均收入较高（其中农村居民2016年即达到13504元），与原来8千元比，显得过高。考虑到医疗费用的自然增幅以及基金筹资标准，建议城乡大病保险办法中暂按1万元确定，以后再跟进基金收支情况进行调整。从第四组数据可以得出，参保人员报销的集中在6万以内，靠到年均费用增幅，拟在表四的基础上，分段略作调整，即将3-5万、5-10万调整为3-6万、6-10万，可一定程度上减轻大病保险基金的压力。如下表：</w:t>
      </w:r>
    </w:p>
    <w:p w:rsidR="001A4D4C" w:rsidRPr="00837509" w:rsidRDefault="001A4D4C" w:rsidP="001A4D4C">
      <w:pPr>
        <w:widowControl/>
        <w:snapToGrid w:val="0"/>
        <w:spacing w:line="580" w:lineRule="exact"/>
        <w:ind w:firstLineChars="200" w:firstLine="562"/>
        <w:jc w:val="left"/>
        <w:rPr>
          <w:rFonts w:ascii="仿宋_GB2312" w:eastAsia="仿宋_GB2312" w:hAnsi="仿宋" w:cs="仿宋_GB2312" w:hint="eastAsia"/>
          <w:b/>
          <w:bCs/>
          <w:kern w:val="0"/>
          <w:sz w:val="28"/>
          <w:szCs w:val="28"/>
        </w:rPr>
      </w:pPr>
      <w:r w:rsidRPr="00837509">
        <w:rPr>
          <w:rFonts w:ascii="仿宋_GB2312" w:eastAsia="仿宋_GB2312" w:hAnsi="仿宋" w:cs="仿宋_GB2312" w:hint="eastAsia"/>
          <w:b/>
          <w:bCs/>
          <w:kern w:val="0"/>
          <w:sz w:val="28"/>
          <w:szCs w:val="28"/>
        </w:rPr>
        <w:t>2.以2016年数据为例，按照1万元起付线，1-3万、3-6万、6-10万、10万以上又进行数据测算，得出如下表格：</w:t>
      </w:r>
    </w:p>
    <w:tbl>
      <w:tblPr>
        <w:tblpPr w:leftFromText="180" w:rightFromText="180" w:vertAnchor="text" w:horzAnchor="margin" w:tblpXSpec="center" w:tblpY="477"/>
        <w:tblOverlap w:val="never"/>
        <w:tblW w:w="9315" w:type="dxa"/>
        <w:tblLayout w:type="fixed"/>
        <w:tblCellMar>
          <w:top w:w="15" w:type="dxa"/>
          <w:left w:w="15" w:type="dxa"/>
          <w:bottom w:w="15" w:type="dxa"/>
          <w:right w:w="15" w:type="dxa"/>
        </w:tblCellMar>
        <w:tblLook w:val="0000"/>
      </w:tblPr>
      <w:tblGrid>
        <w:gridCol w:w="1367"/>
        <w:gridCol w:w="1534"/>
        <w:gridCol w:w="1482"/>
        <w:gridCol w:w="1510"/>
        <w:gridCol w:w="1177"/>
        <w:gridCol w:w="2245"/>
      </w:tblGrid>
      <w:tr w:rsidR="001A4D4C" w:rsidRPr="00837509" w:rsidTr="00461847">
        <w:trPr>
          <w:trHeight w:val="530"/>
        </w:trPr>
        <w:tc>
          <w:tcPr>
            <w:tcW w:w="1367" w:type="dxa"/>
            <w:vMerge w:val="restart"/>
            <w:tcBorders>
              <w:top w:val="single" w:sz="4" w:space="0" w:color="000000"/>
              <w:left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2016年</w:t>
            </w:r>
          </w:p>
          <w:p w:rsidR="001A4D4C" w:rsidRPr="00837509" w:rsidRDefault="001A4D4C" w:rsidP="00461847">
            <w:pPr>
              <w:jc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（超10000元部分）</w:t>
            </w:r>
          </w:p>
          <w:p w:rsidR="001A4D4C" w:rsidRPr="00837509" w:rsidRDefault="001A4D4C" w:rsidP="00461847">
            <w:pPr>
              <w:jc w:val="center"/>
              <w:rPr>
                <w:rFonts w:ascii="仿宋_GB2312" w:eastAsia="仿宋_GB2312" w:hAnsi="宋体" w:cs="宋体" w:hint="eastAsia"/>
                <w:color w:val="000000"/>
                <w:sz w:val="24"/>
              </w:rPr>
            </w:pPr>
            <w:r w:rsidRPr="00837509">
              <w:rPr>
                <w:rFonts w:ascii="仿宋_GB2312" w:eastAsia="仿宋_GB2312" w:hAnsi="宋体" w:cs="宋体" w:hint="eastAsia"/>
                <w:b/>
                <w:color w:val="000000"/>
                <w:kern w:val="0"/>
                <w:sz w:val="24"/>
              </w:rPr>
              <w:t>参保人数83.04万</w:t>
            </w:r>
          </w:p>
        </w:tc>
        <w:tc>
          <w:tcPr>
            <w:tcW w:w="153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1-3（含）</w:t>
            </w:r>
          </w:p>
        </w:tc>
        <w:tc>
          <w:tcPr>
            <w:tcW w:w="1482"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54226750.48</w:t>
            </w:r>
          </w:p>
        </w:tc>
        <w:tc>
          <w:tcPr>
            <w:tcW w:w="1510"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3271</w:t>
            </w:r>
          </w:p>
        </w:tc>
        <w:tc>
          <w:tcPr>
            <w:tcW w:w="117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50%</w:t>
            </w:r>
          </w:p>
        </w:tc>
        <w:tc>
          <w:tcPr>
            <w:tcW w:w="2245"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10758375.24</w:t>
            </w:r>
          </w:p>
        </w:tc>
      </w:tr>
      <w:tr w:rsidR="001A4D4C" w:rsidRPr="00837509" w:rsidTr="00461847">
        <w:trPr>
          <w:trHeight w:val="530"/>
        </w:trPr>
        <w:tc>
          <w:tcPr>
            <w:tcW w:w="1367"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sz w:val="24"/>
              </w:rPr>
            </w:pPr>
            <w:r w:rsidRPr="00837509">
              <w:rPr>
                <w:rFonts w:ascii="仿宋_GB2312" w:eastAsia="仿宋_GB2312" w:hAnsi="宋体" w:cs="宋体" w:hint="eastAsia"/>
                <w:color w:val="000000"/>
                <w:kern w:val="0"/>
                <w:sz w:val="24"/>
              </w:rPr>
              <w:t>3-6（含）</w:t>
            </w:r>
          </w:p>
        </w:tc>
        <w:tc>
          <w:tcPr>
            <w:tcW w:w="1482"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26932498.33</w:t>
            </w:r>
          </w:p>
        </w:tc>
        <w:tc>
          <w:tcPr>
            <w:tcW w:w="1510"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679</w:t>
            </w:r>
          </w:p>
        </w:tc>
        <w:tc>
          <w:tcPr>
            <w:tcW w:w="117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sz w:val="24"/>
              </w:rPr>
              <w:t>60%</w:t>
            </w:r>
          </w:p>
        </w:tc>
        <w:tc>
          <w:tcPr>
            <w:tcW w:w="2245"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10727499</w:t>
            </w:r>
          </w:p>
        </w:tc>
      </w:tr>
      <w:tr w:rsidR="001A4D4C" w:rsidRPr="00837509" w:rsidTr="00461847">
        <w:trPr>
          <w:trHeight w:val="530"/>
        </w:trPr>
        <w:tc>
          <w:tcPr>
            <w:tcW w:w="1367"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6-10（含）</w:t>
            </w:r>
          </w:p>
        </w:tc>
        <w:tc>
          <w:tcPr>
            <w:tcW w:w="1482"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5996446.86</w:t>
            </w:r>
          </w:p>
        </w:tc>
        <w:tc>
          <w:tcPr>
            <w:tcW w:w="1510"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82</w:t>
            </w:r>
          </w:p>
        </w:tc>
        <w:tc>
          <w:tcPr>
            <w:tcW w:w="117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70%</w:t>
            </w:r>
          </w:p>
        </w:tc>
        <w:tc>
          <w:tcPr>
            <w:tcW w:w="2245"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3049512.802</w:t>
            </w:r>
          </w:p>
        </w:tc>
      </w:tr>
      <w:tr w:rsidR="001A4D4C" w:rsidRPr="00837509" w:rsidTr="00461847">
        <w:trPr>
          <w:trHeight w:val="530"/>
        </w:trPr>
        <w:tc>
          <w:tcPr>
            <w:tcW w:w="1367" w:type="dxa"/>
            <w:vMerge/>
            <w:tcBorders>
              <w:left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34"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10以上</w:t>
            </w:r>
          </w:p>
        </w:tc>
        <w:tc>
          <w:tcPr>
            <w:tcW w:w="1482"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4906177.94</w:t>
            </w:r>
          </w:p>
        </w:tc>
        <w:tc>
          <w:tcPr>
            <w:tcW w:w="1510"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33</w:t>
            </w:r>
          </w:p>
        </w:tc>
        <w:tc>
          <w:tcPr>
            <w:tcW w:w="1177" w:type="dxa"/>
            <w:tcBorders>
              <w:top w:val="single" w:sz="4" w:space="0" w:color="000000"/>
              <w:left w:val="single" w:sz="4" w:space="0" w:color="000000"/>
              <w:bottom w:val="single" w:sz="4"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80%</w:t>
            </w:r>
          </w:p>
        </w:tc>
        <w:tc>
          <w:tcPr>
            <w:tcW w:w="2245" w:type="dxa"/>
            <w:tcBorders>
              <w:top w:val="single" w:sz="4" w:space="0" w:color="000000"/>
              <w:left w:val="single" w:sz="4" w:space="0" w:color="000000"/>
              <w:bottom w:val="single" w:sz="4" w:space="0" w:color="000000"/>
              <w:right w:val="single" w:sz="12" w:space="0" w:color="000000"/>
            </w:tcBorders>
            <w:vAlign w:val="center"/>
          </w:tcPr>
          <w:p w:rsidR="001A4D4C" w:rsidRPr="00837509" w:rsidRDefault="001A4D4C" w:rsidP="00461847">
            <w:pPr>
              <w:jc w:val="center"/>
              <w:rPr>
                <w:rFonts w:ascii="仿宋_GB2312" w:eastAsia="仿宋_GB2312" w:hAnsi="宋体" w:cs="Arial" w:hint="eastAsia"/>
                <w:sz w:val="24"/>
              </w:rPr>
            </w:pPr>
            <w:r w:rsidRPr="00837509">
              <w:rPr>
                <w:rFonts w:ascii="仿宋_GB2312" w:eastAsia="仿宋_GB2312" w:cs="Arial" w:hint="eastAsia"/>
                <w:sz w:val="24"/>
              </w:rPr>
              <w:t>3132942.352</w:t>
            </w:r>
          </w:p>
        </w:tc>
      </w:tr>
      <w:tr w:rsidR="001A4D4C" w:rsidRPr="00837509" w:rsidTr="00461847">
        <w:trPr>
          <w:trHeight w:val="530"/>
        </w:trPr>
        <w:tc>
          <w:tcPr>
            <w:tcW w:w="1367" w:type="dxa"/>
            <w:vMerge/>
            <w:tcBorders>
              <w:left w:val="single" w:sz="12" w:space="0" w:color="000000"/>
              <w:bottom w:val="single" w:sz="12" w:space="0" w:color="000000"/>
              <w:right w:val="single" w:sz="4" w:space="0" w:color="000000"/>
            </w:tcBorders>
            <w:vAlign w:val="center"/>
          </w:tcPr>
          <w:p w:rsidR="001A4D4C" w:rsidRPr="00837509" w:rsidRDefault="001A4D4C" w:rsidP="00461847">
            <w:pPr>
              <w:jc w:val="center"/>
              <w:rPr>
                <w:rFonts w:ascii="仿宋_GB2312" w:eastAsia="仿宋_GB2312" w:hAnsi="宋体" w:cs="宋体" w:hint="eastAsia"/>
                <w:color w:val="000000"/>
                <w:sz w:val="24"/>
              </w:rPr>
            </w:pPr>
          </w:p>
        </w:tc>
        <w:tc>
          <w:tcPr>
            <w:tcW w:w="1534" w:type="dxa"/>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人均筹资标准</w:t>
            </w:r>
          </w:p>
        </w:tc>
        <w:tc>
          <w:tcPr>
            <w:tcW w:w="2992" w:type="dxa"/>
            <w:gridSpan w:val="2"/>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32.16元（按100%净赔付）</w:t>
            </w:r>
          </w:p>
        </w:tc>
        <w:tc>
          <w:tcPr>
            <w:tcW w:w="1177" w:type="dxa"/>
            <w:tcBorders>
              <w:top w:val="single" w:sz="4" w:space="0" w:color="000000"/>
              <w:left w:val="single" w:sz="4" w:space="0" w:color="000000"/>
              <w:bottom w:val="single" w:sz="12" w:space="0" w:color="000000"/>
              <w:right w:val="single" w:sz="4"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color w:val="000000"/>
                <w:kern w:val="0"/>
                <w:sz w:val="24"/>
              </w:rPr>
            </w:pPr>
            <w:r w:rsidRPr="00837509">
              <w:rPr>
                <w:rFonts w:ascii="仿宋_GB2312" w:eastAsia="仿宋_GB2312" w:hAnsi="宋体" w:cs="宋体" w:hint="eastAsia"/>
                <w:color w:val="000000"/>
                <w:kern w:val="0"/>
                <w:sz w:val="24"/>
              </w:rPr>
              <w:t>合计</w:t>
            </w:r>
          </w:p>
        </w:tc>
        <w:tc>
          <w:tcPr>
            <w:tcW w:w="2245" w:type="dxa"/>
            <w:tcBorders>
              <w:top w:val="single" w:sz="4" w:space="0" w:color="000000"/>
              <w:left w:val="single" w:sz="4" w:space="0" w:color="000000"/>
              <w:bottom w:val="single" w:sz="12" w:space="0" w:color="000000"/>
              <w:right w:val="single" w:sz="12" w:space="0" w:color="000000"/>
            </w:tcBorders>
            <w:vAlign w:val="center"/>
          </w:tcPr>
          <w:p w:rsidR="001A4D4C" w:rsidRPr="00837509" w:rsidRDefault="001A4D4C" w:rsidP="00461847">
            <w:pPr>
              <w:widowControl/>
              <w:jc w:val="center"/>
              <w:textAlignment w:val="center"/>
              <w:rPr>
                <w:rFonts w:ascii="仿宋_GB2312" w:eastAsia="仿宋_GB2312" w:hAnsi="宋体" w:cs="宋体" w:hint="eastAsia"/>
                <w:b/>
                <w:color w:val="000000"/>
                <w:kern w:val="0"/>
                <w:sz w:val="24"/>
              </w:rPr>
            </w:pPr>
            <w:r w:rsidRPr="00837509">
              <w:rPr>
                <w:rFonts w:ascii="仿宋_GB2312" w:eastAsia="仿宋_GB2312" w:hAnsi="宋体" w:cs="宋体" w:hint="eastAsia"/>
                <w:b/>
                <w:color w:val="000000"/>
                <w:kern w:val="0"/>
                <w:sz w:val="24"/>
              </w:rPr>
              <w:t>2766.82万元</w:t>
            </w:r>
          </w:p>
        </w:tc>
      </w:tr>
    </w:tbl>
    <w:p w:rsidR="001A4D4C" w:rsidRDefault="001A4D4C" w:rsidP="001A4D4C"/>
    <w:p w:rsidR="001A4D4C" w:rsidRDefault="001A4D4C" w:rsidP="001A4D4C">
      <w:pPr>
        <w:rPr>
          <w:rFonts w:ascii="仿宋_GB2312" w:eastAsia="仿宋_GB2312"/>
          <w:b/>
          <w:sz w:val="32"/>
          <w:szCs w:val="32"/>
        </w:rPr>
      </w:pPr>
    </w:p>
    <w:p w:rsidR="001A4D4C" w:rsidRDefault="001A4D4C" w:rsidP="001A4D4C">
      <w:pPr>
        <w:rPr>
          <w:rFonts w:ascii="仿宋_GB2312" w:eastAsia="仿宋_GB2312" w:hAnsi="黑体" w:hint="eastAsia"/>
          <w:sz w:val="32"/>
          <w:szCs w:val="32"/>
        </w:rPr>
      </w:pPr>
      <w:r>
        <w:rPr>
          <w:rFonts w:ascii="仿宋_GB2312" w:eastAsia="仿宋_GB2312" w:hint="eastAsia"/>
          <w:b/>
          <w:sz w:val="32"/>
          <w:szCs w:val="32"/>
        </w:rPr>
        <w:t xml:space="preserve">   </w:t>
      </w:r>
      <w:r>
        <w:rPr>
          <w:rFonts w:ascii="仿宋_GB2312" w:eastAsia="仿宋_GB2312" w:hAnsi="黑体" w:hint="eastAsia"/>
          <w:sz w:val="32"/>
          <w:szCs w:val="32"/>
        </w:rPr>
        <w:t xml:space="preserve"> 考虑到2017年版</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保目录报销药品数量达2500多种，且国家</w:t>
      </w:r>
      <w:proofErr w:type="gramStart"/>
      <w:r>
        <w:rPr>
          <w:rFonts w:ascii="仿宋_GB2312" w:eastAsia="仿宋_GB2312" w:hAnsi="黑体" w:hint="eastAsia"/>
          <w:sz w:val="32"/>
          <w:szCs w:val="32"/>
        </w:rPr>
        <w:t>医保谈判</w:t>
      </w:r>
      <w:proofErr w:type="gramEnd"/>
      <w:r>
        <w:rPr>
          <w:rFonts w:ascii="仿宋_GB2312" w:eastAsia="仿宋_GB2312" w:hAnsi="黑体" w:hint="eastAsia"/>
          <w:sz w:val="32"/>
          <w:szCs w:val="32"/>
        </w:rPr>
        <w:t>的36种药品要纳入</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保支付，基本</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保基金和大病保险基金的支付将有较大增幅，但无法准确预测。</w:t>
      </w:r>
      <w:proofErr w:type="gramStart"/>
      <w:r>
        <w:rPr>
          <w:rFonts w:ascii="仿宋_GB2312" w:eastAsia="仿宋_GB2312" w:hAnsi="黑体" w:hint="eastAsia"/>
          <w:sz w:val="32"/>
          <w:szCs w:val="32"/>
        </w:rPr>
        <w:t>从稳慎</w:t>
      </w:r>
      <w:proofErr w:type="gramEnd"/>
      <w:r>
        <w:rPr>
          <w:rFonts w:ascii="仿宋_GB2312" w:eastAsia="仿宋_GB2312" w:hAnsi="黑体" w:hint="eastAsia"/>
          <w:sz w:val="32"/>
          <w:szCs w:val="32"/>
        </w:rPr>
        <w:t>角度，建议按表2的分段和起付线执行，大病保险筹</w:t>
      </w:r>
      <w:r>
        <w:rPr>
          <w:rFonts w:ascii="仿宋_GB2312" w:eastAsia="仿宋_GB2312" w:hAnsi="黑体" w:hint="eastAsia"/>
          <w:sz w:val="32"/>
          <w:szCs w:val="32"/>
        </w:rPr>
        <w:lastRenderedPageBreak/>
        <w:t>资标准不至于增长过快，对基本</w:t>
      </w:r>
      <w:proofErr w:type="gramStart"/>
      <w:r>
        <w:rPr>
          <w:rFonts w:ascii="仿宋_GB2312" w:eastAsia="仿宋_GB2312" w:hAnsi="黑体" w:hint="eastAsia"/>
          <w:sz w:val="32"/>
          <w:szCs w:val="32"/>
        </w:rPr>
        <w:t>医</w:t>
      </w:r>
      <w:proofErr w:type="gramEnd"/>
      <w:r>
        <w:rPr>
          <w:rFonts w:ascii="仿宋_GB2312" w:eastAsia="仿宋_GB2312" w:hAnsi="黑体" w:hint="eastAsia"/>
          <w:sz w:val="32"/>
          <w:szCs w:val="32"/>
        </w:rPr>
        <w:t>保基金支付带来影响。</w:t>
      </w:r>
    </w:p>
    <w:p w:rsidR="001A4D4C" w:rsidRDefault="001A4D4C" w:rsidP="001A4D4C"/>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A4D4C" w:rsidRDefault="001A4D4C" w:rsidP="001A4D4C">
      <w:pPr>
        <w:pStyle w:val="a4"/>
        <w:spacing w:line="600" w:lineRule="exact"/>
        <w:rPr>
          <w:rStyle w:val="a3"/>
          <w:rFonts w:ascii="黑体" w:eastAsia="黑体" w:hAnsi="新宋体" w:hint="eastAsia"/>
          <w:b w:val="0"/>
          <w:color w:val="000000"/>
          <w:sz w:val="32"/>
          <w:szCs w:val="32"/>
        </w:rPr>
      </w:pPr>
    </w:p>
    <w:p w:rsidR="00131FAD" w:rsidRPr="001A4D4C" w:rsidRDefault="00131FAD"/>
    <w:sectPr w:rsidR="00131FAD" w:rsidRPr="001A4D4C" w:rsidSect="00131F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D4C"/>
    <w:rsid w:val="00131FAD"/>
    <w:rsid w:val="001A4D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D4C"/>
    <w:rPr>
      <w:rFonts w:cs="Times New Roman"/>
      <w:b/>
      <w:bCs/>
    </w:rPr>
  </w:style>
  <w:style w:type="paragraph" w:styleId="a4">
    <w:name w:val="Normal (Web)"/>
    <w:basedOn w:val="a"/>
    <w:uiPriority w:val="99"/>
    <w:qFormat/>
    <w:rsid w:val="001A4D4C"/>
    <w:pPr>
      <w:widowControl/>
      <w:jc w:val="left"/>
    </w:pPr>
    <w:rPr>
      <w:rFonts w:ascii="宋体" w:hAnsi="宋体" w:cs="宋体"/>
      <w:kern w:val="0"/>
      <w:sz w:val="24"/>
    </w:rPr>
  </w:style>
  <w:style w:type="paragraph" w:customStyle="1" w:styleId="Char">
    <w:name w:val="Char"/>
    <w:basedOn w:val="a"/>
    <w:rsid w:val="001A4D4C"/>
    <w:rPr>
      <w:szCs w:val="20"/>
    </w:rPr>
  </w:style>
  <w:style w:type="paragraph" w:customStyle="1" w:styleId="p0">
    <w:name w:val="p0"/>
    <w:basedOn w:val="a"/>
    <w:uiPriority w:val="99"/>
    <w:qFormat/>
    <w:rsid w:val="001A4D4C"/>
    <w:pPr>
      <w:widowControl/>
    </w:pPr>
    <w:rPr>
      <w:rFonts w:ascii="Calibri" w:hAnsi="Calibri"/>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FGK1</dc:creator>
  <cp:lastModifiedBy>FGK1</cp:lastModifiedBy>
  <cp:revision>1</cp:revision>
  <dcterms:created xsi:type="dcterms:W3CDTF">2018-09-29T05:46:00Z</dcterms:created>
  <dcterms:modified xsi:type="dcterms:W3CDTF">2018-09-29T05:49:00Z</dcterms:modified>
</cp:coreProperties>
</file>