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right"/>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rPr>
        <w:t>绵阳市人民政府办公室</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rPr>
        <w:t>关于印发绵阳市县级及以上城市建成区</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_GBK" w:hAnsi="方正小标宋简体" w:eastAsia="方正小标宋_GBK"/>
          <w:sz w:val="44"/>
        </w:rPr>
      </w:pPr>
      <w:r>
        <w:rPr>
          <w:rFonts w:hint="eastAsia" w:ascii="方正小标宋简体" w:hAnsi="方正小标宋简体" w:eastAsia="方正小标宋简体"/>
          <w:sz w:val="44"/>
        </w:rPr>
        <w:t>燃煤小锅炉淘汰工作方案的通知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科技城管委会，各县市区人民政府，各园区管委会，科学城办事</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处，市级有关部门：</w:t>
      </w:r>
    </w:p>
    <w:p>
      <w:pPr>
        <w:keepNext w:val="0"/>
        <w:keepLines w:val="0"/>
        <w:pageBreakBefore w:val="0"/>
        <w:widowControl w:val="0"/>
        <w:tabs>
          <w:tab w:val="left" w:pos="630"/>
        </w:tabs>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《绵阳市县级及以上城市建成区燃煤小锅炉淘汰工作方案》已经市政府同意，现印发给你们，请遵照执行。</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textAlignment w:val="auto"/>
        <w:outlineLvl w:val="9"/>
        <w:rPr>
          <w:rFonts w:hint="default" w:ascii="Times New Roman" w:hAnsi="Times New Roman" w:eastAsia="方正仿宋_GBK" w:cs="Times New Roman"/>
          <w:sz w:val="32"/>
        </w:rPr>
      </w:pPr>
    </w:p>
    <w:p>
      <w:pPr>
        <w:keepNext w:val="0"/>
        <w:keepLines w:val="0"/>
        <w:pageBreakBefore w:val="0"/>
        <w:widowControl w:val="0"/>
        <w:tabs>
          <w:tab w:val="left" w:pos="7560"/>
        </w:tabs>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sz w:val="32"/>
        </w:rPr>
      </w:pP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绵阳市人民政府办公室</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default" w:ascii="Times New Roman" w:hAnsi="Times New Roman" w:eastAsia="方正仿宋_GBK" w:cs="Times New Roman"/>
          <w:sz w:val="32"/>
        </w:rPr>
      </w:pP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2018年6月22日</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0" w:firstLine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rPr>
        <w:sectPr>
          <w:headerReference r:id="rId3" w:type="default"/>
          <w:pgSz w:w="10772" w:h="16441"/>
          <w:pgMar w:top="1417" w:right="907" w:bottom="1417" w:left="907" w:header="851" w:footer="1134"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sz w:val="44"/>
        </w:rPr>
      </w:pPr>
      <w:r>
        <w:rPr>
          <w:rFonts w:hint="eastAsia" w:ascii="方正小标宋简体" w:hAnsi="方正小标宋简体" w:eastAsia="方正小标宋简体"/>
          <w:sz w:val="44"/>
        </w:rPr>
        <w:t>绵阳市县级及以上城市</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sz w:val="32"/>
          <w:shd w:val="clear" w:color="auto" w:fill="FFFFFF"/>
        </w:rPr>
      </w:pPr>
      <w:r>
        <w:rPr>
          <w:rFonts w:hint="eastAsia" w:ascii="方正小标宋简体" w:hAnsi="方正小标宋简体" w:eastAsia="方正小标宋简体"/>
          <w:sz w:val="44"/>
        </w:rPr>
        <w:t>建成区燃煤小锅炉淘汰工作方案</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shd w:val="clear" w:color="auto" w:fill="FFFFFF"/>
        </w:rPr>
      </w:pP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hd w:val="clear" w:color="auto" w:fill="FFFFFF"/>
        </w:rPr>
        <w:t>为全面贯彻绿色发</w:t>
      </w:r>
      <w:r>
        <w:rPr>
          <w:rFonts w:hint="default" w:ascii="Times New Roman" w:hAnsi="Times New Roman" w:eastAsia="方正仿宋_GBK" w:cs="Times New Roman"/>
          <w:sz w:val="32"/>
        </w:rPr>
        <w:t>展理念，认真落实中央和省委、省政府推进绿色发展决策部署，根据《四川省蓝天保卫行动方案（2017</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2020年）》、省淘汰落后产能办《关于做好2018年淘汰燃煤小锅炉工作的通知》（川淘汰落后办〔2018〕6号）及中</w:t>
      </w:r>
      <w:r>
        <w:rPr>
          <w:rFonts w:hint="default" w:ascii="Times New Roman" w:hAnsi="Times New Roman" w:eastAsia="方正仿宋_GBK" w:cs="Times New Roman"/>
          <w:sz w:val="32"/>
          <w:shd w:val="clear" w:color="auto" w:fill="FFFFFF"/>
        </w:rPr>
        <w:t>央环保督察后续整改工作要求，制定本方案。</w:t>
      </w:r>
    </w:p>
    <w:p>
      <w:pPr>
        <w:keepNext w:val="0"/>
        <w:keepLines w:val="0"/>
        <w:pageBreakBefore w:val="0"/>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一、指导思想</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以建设中国科技城和幸福美丽绵阳为目标，按照政府统筹、部门协调、辖区主责、市区联动的工作思路，采取拆除、改建、清洁能源替代等措施，全面淘汰县级及以上城市建成区内燃煤锅炉，切实改善城市大气环境质量。</w:t>
      </w:r>
    </w:p>
    <w:p>
      <w:pPr>
        <w:keepNext w:val="0"/>
        <w:keepLines w:val="0"/>
        <w:pageBreakBefore w:val="0"/>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二、工作原则</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rPr>
      </w:pPr>
      <w:r>
        <w:rPr>
          <w:rFonts w:hint="default" w:ascii="Times New Roman" w:hAnsi="Times New Roman" w:eastAsia="方正楷体_GBK" w:cs="Times New Roman"/>
          <w:b/>
          <w:sz w:val="32"/>
        </w:rPr>
        <w:t>（一）属地管理。</w:t>
      </w:r>
      <w:r>
        <w:rPr>
          <w:rFonts w:hint="default" w:ascii="Times New Roman" w:hAnsi="Times New Roman" w:eastAsia="方正仿宋_GBK" w:cs="Times New Roman"/>
          <w:sz w:val="32"/>
        </w:rPr>
        <w:t>按照地方政府对本辖区环境质量负总责的要求，各县市区政府、园区管委会是城市建成区燃煤锅炉淘汰工作的责任主体，全面负责组织实施本辖区燃煤锅炉淘汰工作。</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rPr>
      </w:pPr>
      <w:r>
        <w:rPr>
          <w:rFonts w:hint="default" w:ascii="Times New Roman" w:hAnsi="Times New Roman" w:eastAsia="方正楷体_GBK" w:cs="Times New Roman"/>
          <w:b/>
          <w:sz w:val="32"/>
        </w:rPr>
        <w:t>（二）条块结合。</w:t>
      </w:r>
      <w:r>
        <w:rPr>
          <w:rFonts w:hint="default" w:ascii="Times New Roman" w:hAnsi="Times New Roman" w:eastAsia="方正仿宋_GBK" w:cs="Times New Roman"/>
          <w:sz w:val="32"/>
        </w:rPr>
        <w:t>市级相关职能部门按照职责和任务分工，</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指导、检查、督促县级及以上城市建成区燃煤锅炉淘汰工作。</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rPr>
      </w:pPr>
      <w:r>
        <w:rPr>
          <w:rFonts w:hint="default" w:ascii="Times New Roman" w:hAnsi="Times New Roman" w:eastAsia="方正楷体_GBK" w:cs="Times New Roman"/>
          <w:b/>
          <w:sz w:val="32"/>
        </w:rPr>
        <w:t>（三）业主负责。</w:t>
      </w:r>
      <w:r>
        <w:rPr>
          <w:rFonts w:hint="default" w:ascii="Times New Roman" w:hAnsi="Times New Roman" w:eastAsia="方正仿宋_GBK" w:cs="Times New Roman"/>
          <w:sz w:val="32"/>
        </w:rPr>
        <w:t>按照“谁污染、谁治理”的原则，燃煤锅炉产权单位是淘汰工作的实施主体。</w:t>
      </w:r>
    </w:p>
    <w:p>
      <w:pPr>
        <w:keepNext w:val="0"/>
        <w:keepLines w:val="0"/>
        <w:pageBreakBefore w:val="0"/>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三、工作目标</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在巩固地级及以上城市建成区10蒸吨/时及以下燃煤小锅炉实现清零成果的基础上，到2019年3月底前，全面淘汰县级及以上城市建成区10蒸吨/时及以下燃煤小锅炉(因推广热电联产集中供热替代的燃煤小锅炉，必须在2020年年底前全部淘汰）。</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未列入本方案淘汰目标任务（见附件1）的各型燃煤小锅炉，按照发现一处淘汰一处的要求，均须补充列入淘汰计划，限期予以淘汰。</w:t>
      </w:r>
    </w:p>
    <w:p>
      <w:pPr>
        <w:keepNext w:val="0"/>
        <w:keepLines w:val="0"/>
        <w:pageBreakBefore w:val="0"/>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黑体" w:cs="Times New Roman"/>
          <w:sz w:val="32"/>
        </w:rPr>
      </w:pPr>
      <w:r>
        <w:rPr>
          <w:rFonts w:hint="default" w:ascii="Times New Roman" w:hAnsi="Times New Roman" w:eastAsia="黑体" w:cs="Times New Roman"/>
          <w:sz w:val="32"/>
        </w:rPr>
        <w:t>四、重点任务</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rPr>
      </w:pPr>
      <w:r>
        <w:rPr>
          <w:rFonts w:hint="default" w:ascii="Times New Roman" w:hAnsi="Times New Roman" w:eastAsia="方正楷体_GBK" w:cs="Times New Roman"/>
          <w:b/>
          <w:sz w:val="32"/>
        </w:rPr>
        <w:t>（一）积极推广热电联产集中供热。</w:t>
      </w:r>
      <w:r>
        <w:rPr>
          <w:rFonts w:hint="default" w:ascii="Times New Roman" w:hAnsi="Times New Roman" w:eastAsia="方正仿宋_GBK" w:cs="Times New Roman"/>
          <w:sz w:val="32"/>
        </w:rPr>
        <w:t>鼓励各类产业园区、工业集聚区结合燃煤小锅炉淘汰计划，积极发展基于清洁能源的热电（冷）联产，以高效节能环保的集中供热替代分散、低效的小锅炉供热模式。</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楷体_GBK" w:cs="Times New Roman"/>
          <w:b/>
          <w:sz w:val="32"/>
        </w:rPr>
        <w:t>（二）大力实施燃煤锅炉节能改造。</w:t>
      </w:r>
      <w:r>
        <w:rPr>
          <w:rFonts w:hint="default" w:ascii="Times New Roman" w:hAnsi="Times New Roman" w:eastAsia="方正仿宋_GBK" w:cs="Times New Roman"/>
          <w:sz w:val="32"/>
          <w:shd w:val="clear" w:color="auto" w:fill="FFFFFF"/>
        </w:rPr>
        <w:t>鼓励对10蒸吨/时以上、20蒸吨/时以下燃煤锅炉实施以能效提升为核心的扩容改造或清洁能源替代改造。</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楷体_GBK" w:cs="Times New Roman"/>
          <w:b/>
          <w:sz w:val="32"/>
        </w:rPr>
        <w:t>（三）严格控制新增燃煤锅炉设施。</w:t>
      </w:r>
      <w:r>
        <w:rPr>
          <w:rFonts w:hint="default" w:ascii="Times New Roman" w:hAnsi="Times New Roman" w:eastAsia="方正仿宋_GBK" w:cs="Times New Roman"/>
          <w:sz w:val="32"/>
          <w:shd w:val="clear" w:color="auto" w:fill="FFFFFF"/>
        </w:rPr>
        <w:t>地级以上城市禁止新建20蒸吨/时以下燃煤锅炉；县级及以上城区原则上不得新建10蒸吨/时及以下燃煤锅炉；偏远地区因未通管道天然气、电网未覆盖等原因确需新建10蒸吨/时及以下燃煤锅炉的，在符合环保要求的前提下可报请所在地县级人民政府批准后实施，并抄报市经信委、市质监局、市环境保护局、市发展改革委。</w:t>
      </w:r>
    </w:p>
    <w:p>
      <w:pPr>
        <w:keepNext w:val="0"/>
        <w:keepLines w:val="0"/>
        <w:pageBreakBefore w:val="0"/>
        <w:kinsoku/>
        <w:wordWrap/>
        <w:overflowPunct/>
        <w:topLinePunct w:val="0"/>
        <w:autoSpaceDE/>
        <w:bidi w:val="0"/>
        <w:adjustRightInd/>
        <w:spacing w:line="600" w:lineRule="exact"/>
        <w:ind w:left="0" w:leftChars="0" w:right="0" w:rightChars="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黑体" w:cs="Times New Roman"/>
          <w:sz w:val="32"/>
        </w:rPr>
        <w:t xml:space="preserve">  五、实施步骤</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楷体_GBK" w:cs="Times New Roman"/>
          <w:b/>
          <w:sz w:val="32"/>
        </w:rPr>
      </w:pPr>
      <w:r>
        <w:rPr>
          <w:rFonts w:hint="default" w:ascii="Times New Roman" w:hAnsi="Times New Roman" w:eastAsia="方正楷体_GBK" w:cs="Times New Roman"/>
          <w:b/>
          <w:sz w:val="32"/>
        </w:rPr>
        <w:t>（一）调查摸底阶段 （2018 年5月31日前）。</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hd w:val="clear" w:color="auto" w:fill="FFFFFF"/>
        </w:rPr>
        <w:t>相关县市区人民政府、园区管委会根据本辖区燃煤锅炉淘汰工作的实际，制定实施计划，向燃煤锅炉使用单位下达限期淘汰通知，明确淘汰要求和任务。</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楷体_GBK" w:cs="Times New Roman"/>
          <w:b/>
          <w:sz w:val="32"/>
        </w:rPr>
      </w:pPr>
      <w:r>
        <w:rPr>
          <w:rFonts w:hint="default" w:ascii="Times New Roman" w:hAnsi="Times New Roman" w:eastAsia="方正楷体_GBK" w:cs="Times New Roman"/>
          <w:b/>
          <w:sz w:val="32"/>
        </w:rPr>
        <w:t>（二）组织实施阶段（2018年5月31日</w:t>
      </w:r>
      <w:r>
        <w:rPr>
          <w:rFonts w:hint="eastAsia" w:ascii="Times New Roman" w:hAnsi="Times New Roman" w:eastAsia="方正楷体_GBK" w:cs="Times New Roman"/>
          <w:b/>
          <w:sz w:val="32"/>
          <w:lang w:eastAsia="zh-CN"/>
        </w:rPr>
        <w:t>—</w:t>
      </w:r>
      <w:r>
        <w:rPr>
          <w:rFonts w:hint="default" w:ascii="Times New Roman" w:hAnsi="Times New Roman" w:eastAsia="方正楷体_GBK" w:cs="Times New Roman"/>
          <w:b/>
          <w:sz w:val="32"/>
        </w:rPr>
        <w:t>2019年2月28日）。</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hd w:val="clear" w:color="auto" w:fill="FFFFFF"/>
        </w:rPr>
        <w:t>各地组织开展淘汰燃煤小锅炉工作，协调解决淘汰工作中的相关问题。市级相关职能部门视情对各地燃煤小锅炉淘汰进展情况进行督导检查，确保燃煤小锅炉淘汰目标任务如期完成。</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楷体_GBK" w:cs="Times New Roman"/>
          <w:b/>
          <w:sz w:val="32"/>
        </w:rPr>
      </w:pPr>
      <w:r>
        <w:rPr>
          <w:rFonts w:hint="default" w:ascii="Times New Roman" w:hAnsi="Times New Roman" w:eastAsia="方正楷体_GBK" w:cs="Times New Roman"/>
          <w:b/>
          <w:sz w:val="32"/>
        </w:rPr>
        <w:t>（三）评价验收阶段（2018年8月</w:t>
      </w:r>
      <w:r>
        <w:rPr>
          <w:rFonts w:hint="eastAsia" w:ascii="Times New Roman" w:hAnsi="Times New Roman" w:eastAsia="方正楷体_GBK" w:cs="Times New Roman"/>
          <w:b/>
          <w:sz w:val="32"/>
          <w:lang w:eastAsia="zh-CN"/>
        </w:rPr>
        <w:t>—</w:t>
      </w:r>
      <w:r>
        <w:rPr>
          <w:rFonts w:hint="default" w:ascii="Times New Roman" w:hAnsi="Times New Roman" w:eastAsia="方正楷体_GBK" w:cs="Times New Roman"/>
          <w:b/>
          <w:sz w:val="32"/>
        </w:rPr>
        <w:t>2019年2月28日）</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hd w:val="clear" w:color="auto" w:fill="FFFFFF"/>
        </w:rPr>
        <w:t>按照“淘汰一户、验收一户”的原则，燃煤锅炉产权单位完成淘汰任务后向所在地乡镇政府（街道办）提出验收申请；县（市、区）政府、园区管委会组织相关职能部门对相关单位燃煤锅炉淘汰完成情况及支撑材料进行现场评估和验收，如实填写《绵阳市淘汰燃煤小锅炉验收意见表》（见附件2）。</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楷体_GBK" w:cs="Times New Roman"/>
          <w:b/>
          <w:sz w:val="32"/>
        </w:rPr>
      </w:pPr>
      <w:r>
        <w:rPr>
          <w:rFonts w:hint="default" w:ascii="Times New Roman" w:hAnsi="Times New Roman" w:eastAsia="方正楷体_GBK" w:cs="Times New Roman"/>
          <w:b/>
          <w:sz w:val="32"/>
        </w:rPr>
        <w:t>（四）督查抽查阶段(2019年3月1日</w:t>
      </w:r>
      <w:r>
        <w:rPr>
          <w:rFonts w:hint="eastAsia" w:ascii="Times New Roman" w:hAnsi="Times New Roman" w:eastAsia="方正楷体_GBK" w:cs="Times New Roman"/>
          <w:b/>
          <w:sz w:val="32"/>
          <w:lang w:eastAsia="zh-CN"/>
        </w:rPr>
        <w:t>—</w:t>
      </w:r>
      <w:r>
        <w:rPr>
          <w:rFonts w:hint="default" w:ascii="Times New Roman" w:hAnsi="Times New Roman" w:eastAsia="方正楷体_GBK" w:cs="Times New Roman"/>
          <w:b/>
          <w:sz w:val="32"/>
        </w:rPr>
        <w:t>2019年3月31日)。</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hd w:val="clear" w:color="auto" w:fill="FFFFFF"/>
        </w:rPr>
        <w:t>市级相关部门组成联合督查组，对各地燃煤小锅炉淘汰情况进行现场抽查检查，及时发现和纠正存在的问题，确保县级以上城市建成区燃煤小锅炉“清零”目标的顺利实现。</w:t>
      </w:r>
    </w:p>
    <w:p>
      <w:pPr>
        <w:keepNext w:val="0"/>
        <w:keepLines w:val="0"/>
        <w:pageBreakBefore w:val="0"/>
        <w:kinsoku/>
        <w:wordWrap/>
        <w:overflowPunct/>
        <w:topLinePunct w:val="0"/>
        <w:autoSpaceDE/>
        <w:autoSpaceDN w:val="0"/>
        <w:bidi w:val="0"/>
        <w:adjustRightInd/>
        <w:snapToGrid w:val="0"/>
        <w:spacing w:line="600" w:lineRule="exact"/>
        <w:ind w:left="0" w:leftChars="0" w:right="0" w:rightChars="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黑体" w:cs="Times New Roman"/>
          <w:sz w:val="32"/>
        </w:rPr>
        <w:t xml:space="preserve"> 六、保障措施</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楷体_GBK" w:cs="Times New Roman"/>
          <w:b/>
          <w:sz w:val="32"/>
        </w:rPr>
      </w:pPr>
      <w:r>
        <w:rPr>
          <w:rFonts w:hint="default" w:ascii="Times New Roman" w:hAnsi="Times New Roman" w:eastAsia="方正楷体_GBK" w:cs="Times New Roman"/>
          <w:b/>
          <w:sz w:val="32"/>
        </w:rPr>
        <w:t>（一）建立协调机制。</w:t>
      </w:r>
    </w:p>
    <w:p>
      <w:pPr>
        <w:keepNext w:val="0"/>
        <w:keepLines w:val="0"/>
        <w:pageBreakBefore w:val="0"/>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rPr>
        <w:t>建立城市建成区燃煤锅炉淘汰工作协调机制，由市经信委、市环境保护局、市质监局牵头，相关职能部门配合，加强协作，提高效率，确保城市建成区燃煤锅炉淘汰工作按期完成。建立燃煤小锅炉淘汰工作定期报送制度，每季度结束前15天内将本地区年度淘汰任务完成进度及工作推进情况</w:t>
      </w:r>
      <w:r>
        <w:rPr>
          <w:rFonts w:hint="default" w:ascii="Times New Roman" w:hAnsi="Times New Roman" w:eastAsia="方正仿宋_GBK" w:cs="Times New Roman"/>
          <w:sz w:val="32"/>
          <w:shd w:val="clear" w:color="auto" w:fill="FFFFFF"/>
        </w:rPr>
        <w:t>以县（市、区）政府、园区管委会名义报送市经信委、市环境保护局、市质监局、市发展改革委。</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楷体_GBK" w:cs="Times New Roman"/>
          <w:b/>
          <w:sz w:val="32"/>
        </w:rPr>
      </w:pPr>
      <w:r>
        <w:rPr>
          <w:rFonts w:hint="default" w:ascii="Times New Roman" w:hAnsi="Times New Roman" w:eastAsia="方正楷体_GBK" w:cs="Times New Roman"/>
          <w:b/>
          <w:sz w:val="32"/>
        </w:rPr>
        <w:t>（二）落实主体责任。</w:t>
      </w:r>
    </w:p>
    <w:p>
      <w:pPr>
        <w:keepNext w:val="0"/>
        <w:keepLines w:val="0"/>
        <w:pageBreakBefore w:val="0"/>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各</w:t>
      </w:r>
      <w:r>
        <w:rPr>
          <w:rFonts w:hint="default" w:ascii="Times New Roman" w:hAnsi="Times New Roman" w:eastAsia="方正仿宋_GBK" w:cs="Times New Roman"/>
          <w:sz w:val="32"/>
          <w:shd w:val="clear" w:color="auto" w:fill="FFFFFF"/>
        </w:rPr>
        <w:t>县市区政府、园区管委会</w:t>
      </w:r>
      <w:r>
        <w:rPr>
          <w:rFonts w:hint="default" w:ascii="Times New Roman" w:hAnsi="Times New Roman" w:eastAsia="方正仿宋_GBK" w:cs="Times New Roman"/>
          <w:sz w:val="32"/>
        </w:rPr>
        <w:t>作为淘汰燃煤锅炉的责任主体，全面负责本辖区内燃煤锅炉淘汰工作的统筹协调和推进实施。各地要成立相应组织机构，明确</w:t>
      </w:r>
      <w:r>
        <w:rPr>
          <w:rFonts w:hint="default" w:ascii="Times New Roman" w:hAnsi="Times New Roman" w:eastAsia="方正仿宋_GBK" w:cs="Times New Roman"/>
          <w:sz w:val="32"/>
          <w:shd w:val="clear" w:color="auto" w:fill="FFFFFF"/>
        </w:rPr>
        <w:t>县（市、区）政府、园区管委会主要领导</w:t>
      </w:r>
      <w:r>
        <w:rPr>
          <w:rFonts w:hint="default" w:ascii="Times New Roman" w:hAnsi="Times New Roman" w:eastAsia="方正仿宋_GBK" w:cs="Times New Roman"/>
          <w:sz w:val="32"/>
        </w:rPr>
        <w:t>为辖区内燃煤锅炉淘汰工作的第一责任人，及时研究出台促进燃煤小锅炉淘汰的激励约束政策，引导燃煤小锅炉用户主动实施“煤改气”“煤改电”或节能环保扩容改造；要积极协调供电、供气部门，为用户实施清洁能源改造提供保障；要及时协调解决工作中的困难和问题，对拒不完成任务的单位和个人要依法依规采取强制措施，确保全面完成燃煤锅炉淘汰工作。</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仿宋_GBK" w:cs="Times New Roman"/>
          <w:b/>
          <w:sz w:val="32"/>
        </w:rPr>
      </w:pPr>
      <w:r>
        <w:rPr>
          <w:rFonts w:hint="default" w:ascii="Times New Roman" w:hAnsi="Times New Roman" w:eastAsia="方正楷体_GBK" w:cs="Times New Roman"/>
          <w:b/>
          <w:sz w:val="32"/>
        </w:rPr>
        <w:t>（三）加大执法力度。</w:t>
      </w:r>
    </w:p>
    <w:p>
      <w:pPr>
        <w:keepNext w:val="0"/>
        <w:keepLines w:val="0"/>
        <w:pageBreakBefore w:val="0"/>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市级相关职能部门负责督促、指导县级城市城市建成区燃煤小锅炉淘汰工作。县级相关职能部门要把燃煤小锅炉淘汰情况作为环保、质量、安全执法检查的重要内容，定期组织开展联合执法检查，严厉打击涉燃煤锅炉大气环境违法行为，对违法企业依法进行处罚。</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楷体_GBK" w:cs="Times New Roman"/>
          <w:b/>
          <w:sz w:val="32"/>
        </w:rPr>
      </w:pPr>
      <w:r>
        <w:rPr>
          <w:rFonts w:hint="default" w:ascii="Times New Roman" w:hAnsi="Times New Roman" w:eastAsia="方正楷体_GBK" w:cs="Times New Roman"/>
          <w:b/>
          <w:sz w:val="32"/>
        </w:rPr>
        <w:t>（</w:t>
      </w:r>
      <w:r>
        <w:rPr>
          <w:rFonts w:hint="default" w:ascii="Times New Roman" w:hAnsi="Times New Roman" w:eastAsia="方正楷体_GBK" w:cs="Times New Roman"/>
          <w:b/>
          <w:sz w:val="32"/>
          <w:lang w:eastAsia="zh-CN"/>
        </w:rPr>
        <w:t>四</w:t>
      </w:r>
      <w:r>
        <w:rPr>
          <w:rFonts w:hint="default" w:ascii="Times New Roman" w:hAnsi="Times New Roman" w:eastAsia="方正楷体_GBK" w:cs="Times New Roman"/>
          <w:b/>
          <w:sz w:val="32"/>
        </w:rPr>
        <w:t>）强化考核问责。</w:t>
      </w:r>
    </w:p>
    <w:p>
      <w:pPr>
        <w:keepNext w:val="0"/>
        <w:keepLines w:val="0"/>
        <w:pageBreakBefore w:val="0"/>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b/>
          <w:sz w:val="32"/>
        </w:rPr>
      </w:pPr>
      <w:r>
        <w:rPr>
          <w:rFonts w:hint="default" w:ascii="Times New Roman" w:hAnsi="Times New Roman" w:eastAsia="方正仿宋_GBK" w:cs="Times New Roman"/>
          <w:sz w:val="32"/>
        </w:rPr>
        <w:t>对涉及禁止新建的燃煤小锅炉的固定资产投资项目，各级发展改革、经济和信息化部门不予审批、核准和备案，各级环保部门不予通过环境影响评价，各级质监部门不接受安装告知、不安排监督检验、不发放特种设备使用登记证。各级质监部门对已淘汰锅炉注销特种设备使用登记证，禁止锅炉制造企业生产被列入《产业结构调整指导目录》淘汰类产品目录的锅炉。其他负有行业管理责任的部门，应督促指导所属行业的企、事业单位落实有关燃煤锅炉的相关政策，配合做好燃煤锅炉淘汰及新建把关工作。要将燃煤小锅炉淘汰任务完成情况纳入对县（市、区）政府、园区管委会和相关部门大气污染防治工作评价考核体系，严格考核、奖惩逗硬。</w:t>
      </w:r>
    </w:p>
    <w:p>
      <w:pPr>
        <w:keepNext w:val="0"/>
        <w:keepLines w:val="0"/>
        <w:pageBreakBefore w:val="0"/>
        <w:kinsoku/>
        <w:wordWrap/>
        <w:overflowPunct/>
        <w:topLinePunct w:val="0"/>
        <w:autoSpaceDE/>
        <w:bidi w:val="0"/>
        <w:adjustRightInd/>
        <w:snapToGrid w:val="0"/>
        <w:spacing w:line="600" w:lineRule="exact"/>
        <w:ind w:left="0" w:leftChars="0" w:right="0" w:rightChars="0" w:firstLine="643" w:firstLineChars="200"/>
        <w:textAlignment w:val="auto"/>
        <w:outlineLvl w:val="9"/>
        <w:rPr>
          <w:rFonts w:hint="default" w:ascii="Times New Roman" w:hAnsi="Times New Roman" w:eastAsia="方正楷体_GBK" w:cs="Times New Roman"/>
          <w:b/>
          <w:sz w:val="32"/>
        </w:rPr>
      </w:pPr>
      <w:r>
        <w:rPr>
          <w:rFonts w:hint="default" w:ascii="Times New Roman" w:hAnsi="Times New Roman" w:eastAsia="方正楷体_GBK" w:cs="Times New Roman"/>
          <w:b/>
          <w:sz w:val="32"/>
        </w:rPr>
        <w:t>（五）明确责任分工。</w:t>
      </w:r>
    </w:p>
    <w:p>
      <w:pPr>
        <w:keepNext w:val="0"/>
        <w:keepLines w:val="0"/>
        <w:pageBreakBefore w:val="0"/>
        <w:numPr>
          <w:ilvl w:val="0"/>
          <w:numId w:val="0"/>
        </w:numPr>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1.市经信委：负责绵阳市县级以上城市建成区淘汰</w:t>
      </w:r>
      <w:r>
        <w:rPr>
          <w:rFonts w:hint="default" w:ascii="Times New Roman" w:hAnsi="Times New Roman" w:eastAsia="方正仿宋_GBK" w:cs="Times New Roman"/>
          <w:sz w:val="32"/>
          <w:shd w:val="clear" w:color="auto" w:fill="FFFFFF"/>
        </w:rPr>
        <w:t>10蒸吨/时</w:t>
      </w:r>
      <w:r>
        <w:rPr>
          <w:rFonts w:hint="default" w:ascii="Times New Roman" w:hAnsi="Times New Roman" w:eastAsia="方正仿宋_GBK" w:cs="Times New Roman"/>
          <w:sz w:val="32"/>
        </w:rPr>
        <w:t>及以下燃煤锅炉淘汰工作的协调调度；负责会同环保、质监、发改等相关部门定期不定期组织开展专项督查；负责会同环保、质监、发改等部门组织现场验收；负责协调保障相关企业电力、天然气等清洁能源的供应；在市经信委备案的技改项目中，对绵阳市城市建成区内新建2</w:t>
      </w:r>
      <w:r>
        <w:rPr>
          <w:rFonts w:hint="default" w:ascii="Times New Roman" w:hAnsi="Times New Roman" w:eastAsia="方正仿宋_GBK" w:cs="Times New Roman"/>
          <w:sz w:val="32"/>
          <w:shd w:val="clear" w:color="auto" w:fill="FFFFFF"/>
        </w:rPr>
        <w:t>0蒸吨/时</w:t>
      </w:r>
      <w:r>
        <w:rPr>
          <w:rFonts w:hint="default" w:ascii="Times New Roman" w:hAnsi="Times New Roman" w:eastAsia="方正仿宋_GBK" w:cs="Times New Roman"/>
          <w:sz w:val="32"/>
        </w:rPr>
        <w:t>以下、其他地区新建</w:t>
      </w:r>
      <w:r>
        <w:rPr>
          <w:rFonts w:hint="default" w:ascii="Times New Roman" w:hAnsi="Times New Roman" w:eastAsia="方正仿宋_GBK" w:cs="Times New Roman"/>
          <w:sz w:val="32"/>
          <w:shd w:val="clear" w:color="auto" w:fill="FFFFFF"/>
        </w:rPr>
        <w:t>10蒸吨/时</w:t>
      </w:r>
      <w:r>
        <w:rPr>
          <w:rFonts w:hint="default" w:ascii="Times New Roman" w:hAnsi="Times New Roman" w:eastAsia="方正仿宋_GBK" w:cs="Times New Roman"/>
          <w:sz w:val="32"/>
        </w:rPr>
        <w:t>以下的燃煤锅炉项目不予备案。</w:t>
      </w:r>
    </w:p>
    <w:p>
      <w:pPr>
        <w:keepNext w:val="0"/>
        <w:keepLines w:val="0"/>
        <w:pageBreakBefore w:val="0"/>
        <w:numPr>
          <w:ilvl w:val="0"/>
          <w:numId w:val="0"/>
        </w:numPr>
        <w:kinsoku/>
        <w:wordWrap/>
        <w:overflowPunct/>
        <w:topLinePunct w:val="0"/>
        <w:autoSpaceDE/>
        <w:autoSpaceDN w:val="0"/>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2.市环境保护局：</w:t>
      </w:r>
      <w:r>
        <w:rPr>
          <w:rFonts w:hint="default" w:ascii="Times New Roman" w:hAnsi="Times New Roman" w:eastAsia="方正仿宋_GBK" w:cs="Times New Roman"/>
          <w:sz w:val="32"/>
          <w:szCs w:val="21"/>
        </w:rPr>
        <w:t>负责对对绵阳市城市建成区内违规使用高污染燃料的企业的监督执法，督促、指导项目业主在改造锅炉投运前，自行填报建设项目环境影响登记备案系统进行网上备案。指导县级环保部门对县级城市建成区内违规使用高污染燃料的企业的监督执法和其他相关工作。严格环保准入，城市高污染燃料禁燃区禁止审批高污染燃料锅炉，绵阳城市建成区禁止新建</w:t>
      </w:r>
      <w:r>
        <w:rPr>
          <w:rFonts w:hint="default" w:ascii="Times New Roman" w:hAnsi="Times New Roman" w:eastAsia="方正仿宋_GBK" w:cs="Times New Roman"/>
          <w:sz w:val="32"/>
        </w:rPr>
        <w:t>2</w:t>
      </w:r>
      <w:r>
        <w:rPr>
          <w:rFonts w:hint="default" w:ascii="Times New Roman" w:hAnsi="Times New Roman" w:eastAsia="方正仿宋_GBK" w:cs="Times New Roman"/>
          <w:sz w:val="32"/>
          <w:shd w:val="clear" w:color="auto" w:fill="FFFFFF"/>
        </w:rPr>
        <w:t>0蒸吨/时</w:t>
      </w:r>
      <w:r>
        <w:rPr>
          <w:rFonts w:hint="default" w:ascii="Times New Roman" w:hAnsi="Times New Roman" w:eastAsia="方正仿宋_GBK" w:cs="Times New Roman"/>
          <w:sz w:val="32"/>
          <w:szCs w:val="21"/>
        </w:rPr>
        <w:t>以下高污染燃料锅炉，其他区域原则上不得新建1</w:t>
      </w:r>
      <w:r>
        <w:rPr>
          <w:rFonts w:hint="default" w:ascii="Times New Roman" w:hAnsi="Times New Roman" w:eastAsia="方正仿宋_GBK" w:cs="Times New Roman"/>
          <w:sz w:val="32"/>
          <w:shd w:val="clear" w:color="auto" w:fill="FFFFFF"/>
        </w:rPr>
        <w:t>0蒸吨/时</w:t>
      </w:r>
      <w:r>
        <w:rPr>
          <w:rFonts w:hint="default" w:ascii="Times New Roman" w:hAnsi="Times New Roman" w:eastAsia="方正仿宋_GBK" w:cs="Times New Roman"/>
          <w:sz w:val="32"/>
          <w:szCs w:val="21"/>
        </w:rPr>
        <w:t>以下高污染燃煤锅炉。</w:t>
      </w:r>
    </w:p>
    <w:p>
      <w:pPr>
        <w:keepNext w:val="0"/>
        <w:keepLines w:val="0"/>
        <w:pageBreakBefore w:val="0"/>
        <w:numPr>
          <w:ilvl w:val="0"/>
          <w:numId w:val="0"/>
        </w:numPr>
        <w:kinsoku/>
        <w:wordWrap/>
        <w:overflowPunct/>
        <w:topLinePunct w:val="0"/>
        <w:autoSpaceDE/>
        <w:autoSpaceDN w:val="0"/>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3.市质监局：对纳入淘汰计划的燃煤锅炉不再办理定检手续，吊销应予淘汰的锅炉使用登记证；负责严把新建锅炉准入关，对绵阳市城市建成区新建2</w:t>
      </w:r>
      <w:r>
        <w:rPr>
          <w:rFonts w:hint="default" w:ascii="Times New Roman" w:hAnsi="Times New Roman" w:eastAsia="方正仿宋_GBK" w:cs="Times New Roman"/>
          <w:sz w:val="32"/>
          <w:shd w:val="clear" w:color="auto" w:fill="FFFFFF"/>
        </w:rPr>
        <w:t>0蒸吨/时</w:t>
      </w:r>
      <w:r>
        <w:rPr>
          <w:rFonts w:hint="default" w:ascii="Times New Roman" w:hAnsi="Times New Roman" w:eastAsia="方正仿宋_GBK" w:cs="Times New Roman"/>
          <w:sz w:val="32"/>
        </w:rPr>
        <w:t>以下的燃煤锅炉、其他地区新建1</w:t>
      </w:r>
      <w:r>
        <w:rPr>
          <w:rFonts w:hint="default" w:ascii="Times New Roman" w:hAnsi="Times New Roman" w:eastAsia="方正仿宋_GBK" w:cs="Times New Roman"/>
          <w:sz w:val="32"/>
          <w:shd w:val="clear" w:color="auto" w:fill="FFFFFF"/>
        </w:rPr>
        <w:t>0蒸吨/时</w:t>
      </w:r>
      <w:r>
        <w:rPr>
          <w:rFonts w:hint="default" w:ascii="Times New Roman" w:hAnsi="Times New Roman" w:eastAsia="方正仿宋_GBK" w:cs="Times New Roman"/>
          <w:sz w:val="32"/>
        </w:rPr>
        <w:t>以下的燃煤锅炉，不接受锅炉安装告知、不安排监督检验、不发放特种设备使用登记。</w:t>
      </w:r>
    </w:p>
    <w:p>
      <w:pPr>
        <w:keepNext w:val="0"/>
        <w:keepLines w:val="0"/>
        <w:pageBreakBefore w:val="0"/>
        <w:numPr>
          <w:ilvl w:val="0"/>
          <w:numId w:val="0"/>
        </w:numPr>
        <w:kinsoku/>
        <w:wordWrap/>
        <w:overflowPunct/>
        <w:topLinePunct w:val="0"/>
        <w:autoSpaceDE/>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4.市发展改革委：负责落实省上制定的《四川省推进电能替代实施意见》，积极争取资金支持；对新建项目备案中，对绵阳市城市建成区内新建2</w:t>
      </w:r>
      <w:r>
        <w:rPr>
          <w:rFonts w:hint="default" w:ascii="Times New Roman" w:hAnsi="Times New Roman" w:eastAsia="方正仿宋_GBK" w:cs="Times New Roman"/>
          <w:sz w:val="32"/>
          <w:shd w:val="clear" w:color="auto" w:fill="FFFFFF"/>
        </w:rPr>
        <w:t>0蒸吨/时</w:t>
      </w:r>
      <w:r>
        <w:rPr>
          <w:rFonts w:hint="default" w:ascii="Times New Roman" w:hAnsi="Times New Roman" w:eastAsia="方正仿宋_GBK" w:cs="Times New Roman"/>
          <w:sz w:val="32"/>
        </w:rPr>
        <w:t>以下燃煤锅炉、其他地区新建</w:t>
      </w:r>
      <w:r>
        <w:rPr>
          <w:rFonts w:hint="default" w:ascii="Times New Roman" w:hAnsi="Times New Roman" w:eastAsia="方正仿宋_GBK" w:cs="Times New Roman"/>
          <w:sz w:val="32"/>
          <w:shd w:val="clear" w:color="auto" w:fill="FFFFFF"/>
        </w:rPr>
        <w:t>10蒸吨/时</w:t>
      </w:r>
      <w:r>
        <w:rPr>
          <w:rFonts w:hint="default" w:ascii="Times New Roman" w:hAnsi="Times New Roman" w:eastAsia="方正仿宋_GBK" w:cs="Times New Roman"/>
          <w:sz w:val="32"/>
        </w:rPr>
        <w:t>以下的燃煤锅炉项目，不予备案。</w:t>
      </w:r>
    </w:p>
    <w:p>
      <w:pPr>
        <w:keepNext w:val="0"/>
        <w:keepLines w:val="0"/>
        <w:pageBreakBefore w:val="0"/>
        <w:shd w:val="solid" w:color="FFFFFF" w:fill="auto"/>
        <w:kinsoku/>
        <w:wordWrap/>
        <w:overflowPunct/>
        <w:topLinePunct w:val="0"/>
        <w:autoSpaceDE/>
        <w:autoSpaceDN w:val="0"/>
        <w:bidi w:val="0"/>
        <w:adjustRightInd/>
        <w:snapToGrid w:val="0"/>
        <w:spacing w:line="600" w:lineRule="exact"/>
        <w:ind w:left="0" w:leftChars="0" w:right="0" w:rightChars="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5.市安全监管局：负责督促相关业务部门加强改造后有关单位的燃煤锅炉安全生产监管。</w:t>
      </w:r>
    </w:p>
    <w:p>
      <w:pPr>
        <w:keepNext w:val="0"/>
        <w:keepLines w:val="0"/>
        <w:pageBreakBefore w:val="0"/>
        <w:kinsoku/>
        <w:wordWrap/>
        <w:overflowPunct/>
        <w:topLinePunct w:val="0"/>
        <w:autoSpaceDE/>
        <w:autoSpaceDN w:val="0"/>
        <w:bidi w:val="0"/>
        <w:adjustRightInd/>
        <w:snapToGrid w:val="0"/>
        <w:spacing w:line="600" w:lineRule="exact"/>
        <w:ind w:left="0" w:leftChars="0" w:right="0" w:rightChars="0" w:firstLine="640" w:firstLineChars="20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6.市目督办：负责将燃煤锅炉淘汰任务纳入对相关县市区政府和园区管委会的目标考核中，对淘汰燃煤锅炉工作不力的进行督查督办。</w:t>
      </w:r>
    </w:p>
    <w:p>
      <w:pPr>
        <w:keepNext w:val="0"/>
        <w:keepLines w:val="0"/>
        <w:pageBreakBefore w:val="0"/>
        <w:shd w:val="solid" w:color="FFFFFF" w:fill="auto"/>
        <w:kinsoku/>
        <w:wordWrap/>
        <w:overflowPunct/>
        <w:topLinePunct w:val="0"/>
        <w:autoSpaceDE/>
        <w:autoSpaceDN w:val="0"/>
        <w:bidi w:val="0"/>
        <w:adjustRightInd/>
        <w:snapToGrid w:val="0"/>
        <w:spacing w:line="600" w:lineRule="exact"/>
        <w:ind w:left="0" w:leftChars="0" w:right="0" w:rightChars="0" w:firstLine="480"/>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7.市文广新局：负责组织市内新闻媒体做好燃煤锅炉淘汰期间的宣传工作，特别要加大对典型案例的曝光力度，有效发挥群众的监督作用，营造广大群众支持参与、全社会齐抓共管燃煤锅炉淘汰工作的良好氛围。</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jc w:val="left"/>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zCs w:val="32"/>
        </w:rPr>
        <w:t>附件：1.</w:t>
      </w:r>
      <w:r>
        <w:rPr>
          <w:rFonts w:hint="default" w:ascii="Times New Roman" w:hAnsi="Times New Roman" w:eastAsia="方正仿宋_GBK" w:cs="Times New Roman"/>
          <w:sz w:val="32"/>
          <w:shd w:val="clear" w:color="auto" w:fill="FFFFFF"/>
        </w:rPr>
        <w:t>绵阳市县级及以上城市建成区燃煤小锅炉淘汰目标</w:t>
      </w:r>
    </w:p>
    <w:p>
      <w:pPr>
        <w:keepNext w:val="0"/>
        <w:keepLines w:val="0"/>
        <w:pageBreakBefore w:val="0"/>
        <w:widowControl/>
        <w:shd w:val="clear" w:color="auto" w:fill="FFFFFF"/>
        <w:tabs>
          <w:tab w:val="left" w:pos="1890"/>
        </w:tabs>
        <w:kinsoku/>
        <w:wordWrap/>
        <w:overflowPunct/>
        <w:topLinePunct w:val="0"/>
        <w:autoSpaceDE/>
        <w:bidi w:val="0"/>
        <w:adjustRightInd/>
        <w:snapToGrid w:val="0"/>
        <w:spacing w:line="600" w:lineRule="exact"/>
        <w:ind w:left="0" w:leftChars="0" w:right="0" w:rightChars="0" w:firstLine="645"/>
        <w:jc w:val="left"/>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hd w:val="clear" w:color="auto" w:fill="FFFFFF"/>
        </w:rPr>
        <w:t xml:space="preserve">      </w:t>
      </w:r>
      <w:r>
        <w:rPr>
          <w:rFonts w:hint="default" w:ascii="Times New Roman" w:hAnsi="Times New Roman" w:eastAsia="方正仿宋_GBK" w:cs="Times New Roman"/>
          <w:sz w:val="32"/>
          <w:shd w:val="clear" w:color="auto" w:fill="FFFFFF"/>
          <w:lang w:val="en-US" w:eastAsia="zh-CN"/>
        </w:rPr>
        <w:t xml:space="preserve"> </w:t>
      </w:r>
      <w:r>
        <w:rPr>
          <w:rFonts w:hint="default" w:ascii="Times New Roman" w:hAnsi="Times New Roman" w:eastAsia="方正仿宋_GBK" w:cs="Times New Roman"/>
          <w:sz w:val="32"/>
          <w:shd w:val="clear" w:color="auto" w:fill="FFFFFF"/>
        </w:rPr>
        <w:t>任务表</w:t>
      </w:r>
    </w:p>
    <w:p>
      <w:pPr>
        <w:keepNext w:val="0"/>
        <w:keepLines w:val="0"/>
        <w:pageBreakBefore w:val="0"/>
        <w:widowControl/>
        <w:shd w:val="clear" w:color="auto" w:fill="FFFFFF"/>
        <w:kinsoku/>
        <w:wordWrap/>
        <w:overflowPunct/>
        <w:topLinePunct w:val="0"/>
        <w:autoSpaceDE/>
        <w:bidi w:val="0"/>
        <w:adjustRightInd/>
        <w:snapToGrid w:val="0"/>
        <w:spacing w:line="600" w:lineRule="exact"/>
        <w:ind w:left="0" w:leftChars="0" w:right="0" w:rightChars="0" w:firstLine="645"/>
        <w:jc w:val="left"/>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hd w:val="clear" w:color="auto" w:fill="FFFFFF"/>
        </w:rPr>
        <w:t>绵阳市燃煤锅炉淘汰进展情况汇总表</w:t>
      </w:r>
    </w:p>
    <w:p>
      <w:pPr>
        <w:keepNext w:val="0"/>
        <w:keepLines w:val="0"/>
        <w:pageBreakBefore w:val="0"/>
        <w:widowControl/>
        <w:shd w:val="clear" w:color="auto" w:fill="FFFFFF"/>
        <w:tabs>
          <w:tab w:val="left" w:pos="1470"/>
        </w:tabs>
        <w:kinsoku/>
        <w:wordWrap/>
        <w:overflowPunct/>
        <w:topLinePunct w:val="0"/>
        <w:autoSpaceDE/>
        <w:bidi w:val="0"/>
        <w:adjustRightInd/>
        <w:snapToGrid w:val="0"/>
        <w:spacing w:line="600" w:lineRule="exact"/>
        <w:ind w:left="0" w:leftChars="0" w:right="0" w:rightChars="0" w:firstLine="645"/>
        <w:jc w:val="left"/>
        <w:textAlignment w:val="auto"/>
        <w:outlineLvl w:val="9"/>
        <w:rPr>
          <w:rFonts w:hint="default" w:ascii="Times New Roman" w:hAnsi="Times New Roman" w:eastAsia="方正仿宋_GBK" w:cs="Times New Roman"/>
          <w:sz w:val="32"/>
          <w:shd w:val="clear" w:color="auto" w:fill="FFFFFF"/>
        </w:rPr>
      </w:pPr>
      <w:r>
        <w:rPr>
          <w:rFonts w:hint="default" w:ascii="Times New Roman" w:hAnsi="Times New Roman" w:eastAsia="方正仿宋_GBK" w:cs="Times New Roman"/>
          <w:sz w:val="32"/>
          <w:shd w:val="clear" w:color="auto" w:fill="FFFFFF"/>
        </w:rPr>
        <w:t xml:space="preserve">    </w:t>
      </w:r>
      <w:r>
        <w:rPr>
          <w:rFonts w:hint="default" w:ascii="Times New Roman" w:hAnsi="Times New Roman" w:eastAsia="方正仿宋_GBK" w:cs="Times New Roman"/>
          <w:sz w:val="32"/>
          <w:shd w:val="clear" w:color="auto" w:fill="FFFFFF"/>
          <w:lang w:val="en-US" w:eastAsia="zh-CN"/>
        </w:rPr>
        <w:t xml:space="preserve"> </w:t>
      </w:r>
      <w:r>
        <w:rPr>
          <w:rFonts w:hint="default" w:ascii="Times New Roman" w:hAnsi="Times New Roman" w:eastAsia="方正仿宋_GBK" w:cs="Times New Roman"/>
          <w:sz w:val="32"/>
          <w:shd w:val="clear" w:color="auto" w:fill="FFFFFF"/>
        </w:rPr>
        <w:t xml:space="preserve"> 3.绵阳市燃煤锅炉淘汰验收材料清单</w:t>
      </w:r>
    </w:p>
    <w:p>
      <w:pPr>
        <w:keepNext w:val="0"/>
        <w:keepLines w:val="0"/>
        <w:pageBreakBefore w:val="0"/>
        <w:kinsoku/>
        <w:wordWrap/>
        <w:overflowPunct/>
        <w:topLinePunct w:val="0"/>
        <w:autoSpaceDE/>
        <w:bidi w:val="0"/>
        <w:adjustRightInd/>
        <w:spacing w:line="600" w:lineRule="exact"/>
        <w:ind w:left="0" w:leftChars="0" w:right="0" w:rightChars="0"/>
        <w:textAlignment w:val="auto"/>
        <w:outlineLvl w:val="9"/>
        <w:rPr>
          <w:rFonts w:hint="default" w:ascii="Times New Roman" w:hAnsi="Times New Roman" w:eastAsia="方正仿宋_GBK" w:cs="Times New Roman"/>
          <w:sz w:val="32"/>
          <w:szCs w:val="32"/>
        </w:rPr>
        <w:sectPr>
          <w:footerReference r:id="rId4" w:type="default"/>
          <w:pgSz w:w="10772" w:h="16441"/>
          <w:pgMar w:top="1417" w:right="907" w:bottom="1417" w:left="907" w:header="851" w:footer="1134" w:gutter="0"/>
          <w:pgNumType w:fmt="numberInDash"/>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s="仿宋_GB2312"/>
          <w:sz w:val="32"/>
          <w:szCs w:val="32"/>
        </w:rPr>
      </w:pPr>
      <w:r>
        <w:rPr>
          <w:rFonts w:hint="eastAsia" w:ascii="黑体" w:hAnsi="黑体" w:eastAsia="黑体" w:cs="仿宋_GB2312"/>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sz w:val="44"/>
          <w:szCs w:val="44"/>
        </w:rPr>
      </w:pPr>
      <w:r>
        <w:rPr>
          <w:rFonts w:hint="eastAsia" w:ascii="方正小标宋简体" w:hAnsi="方正小标宋简体" w:eastAsia="方正小标宋简体" w:cs="仿宋_GB2312"/>
          <w:sz w:val="44"/>
          <w:szCs w:val="44"/>
        </w:rPr>
        <w:t>绵阳市县级及以上城市建成区燃煤小锅炉淘汰目标任务表</w:t>
      </w:r>
    </w:p>
    <w:p>
      <w:pPr>
        <w:keepNext w:val="0"/>
        <w:keepLines w:val="0"/>
        <w:pageBreakBefore w:val="0"/>
        <w:widowControl w:val="0"/>
        <w:kinsoku/>
        <w:wordWrap/>
        <w:overflowPunct/>
        <w:topLinePunct w:val="0"/>
        <w:autoSpaceDE/>
        <w:autoSpaceDN w:val="0"/>
        <w:bidi w:val="0"/>
        <w:adjustRightInd/>
        <w:snapToGrid/>
        <w:spacing w:line="300" w:lineRule="exact"/>
        <w:ind w:left="0" w:leftChars="0" w:right="0" w:rightChars="0" w:firstLine="0" w:firstLineChars="0"/>
        <w:jc w:val="both"/>
        <w:textAlignment w:val="auto"/>
        <w:outlineLvl w:val="9"/>
        <w:rPr>
          <w:rFonts w:ascii="微软雅黑" w:hAnsi="微软雅黑" w:eastAsia="微软雅黑"/>
          <w:color w:val="000000"/>
          <w:sz w:val="24"/>
        </w:rPr>
      </w:pPr>
      <w:r>
        <w:rPr>
          <w:rFonts w:hint="eastAsia" w:ascii="微软雅黑" w:hAnsi="微软雅黑" w:eastAsia="微软雅黑"/>
          <w:color w:val="000000"/>
          <w:sz w:val="24"/>
        </w:rPr>
        <w:t xml:space="preserve">                                                                                  </w:t>
      </w:r>
      <w:r>
        <w:rPr>
          <w:rFonts w:hint="default" w:ascii="Times New Roman" w:hAnsi="Times New Roman" w:eastAsia="方正仿宋_GBK" w:cs="Times New Roman"/>
          <w:color w:val="000000"/>
          <w:sz w:val="24"/>
        </w:rPr>
        <w:t xml:space="preserve"> </w:t>
      </w:r>
      <w:r>
        <w:rPr>
          <w:rFonts w:hint="eastAsia" w:ascii="Times New Roman" w:hAnsi="Times New Roman" w:eastAsia="方正仿宋_GBK" w:cs="Times New Roman"/>
          <w:color w:val="000000"/>
          <w:sz w:val="24"/>
          <w:lang w:val="en-US" w:eastAsia="zh-CN"/>
        </w:rPr>
        <w:t xml:space="preserve">    </w:t>
      </w:r>
      <w:r>
        <w:rPr>
          <w:rFonts w:hint="default" w:ascii="Times New Roman" w:hAnsi="Times New Roman" w:eastAsia="方正仿宋_GBK" w:cs="Times New Roman"/>
          <w:color w:val="000000"/>
          <w:sz w:val="24"/>
        </w:rPr>
        <w:t>制表时间：2018年 5月 31日</w:t>
      </w:r>
    </w:p>
    <w:tbl>
      <w:tblPr>
        <w:tblStyle w:val="19"/>
        <w:tblW w:w="14070" w:type="dxa"/>
        <w:tblInd w:w="-161" w:type="dxa"/>
        <w:tblLayout w:type="fixed"/>
        <w:tblCellMar>
          <w:top w:w="0" w:type="dxa"/>
          <w:left w:w="108" w:type="dxa"/>
          <w:bottom w:w="0" w:type="dxa"/>
          <w:right w:w="108" w:type="dxa"/>
        </w:tblCellMar>
      </w:tblPr>
      <w:tblGrid>
        <w:gridCol w:w="651"/>
        <w:gridCol w:w="2976"/>
        <w:gridCol w:w="1065"/>
        <w:gridCol w:w="2058"/>
        <w:gridCol w:w="1317"/>
        <w:gridCol w:w="765"/>
        <w:gridCol w:w="1725"/>
        <w:gridCol w:w="705"/>
        <w:gridCol w:w="1053"/>
        <w:gridCol w:w="885"/>
        <w:gridCol w:w="870"/>
      </w:tblGrid>
      <w:tr>
        <w:tblPrEx>
          <w:tblLayout w:type="fixed"/>
          <w:tblCellMar>
            <w:top w:w="0" w:type="dxa"/>
            <w:left w:w="108" w:type="dxa"/>
            <w:bottom w:w="0" w:type="dxa"/>
            <w:right w:w="108" w:type="dxa"/>
          </w:tblCellMar>
        </w:tblPrEx>
        <w:trPr>
          <w:trHeight w:val="393" w:hRule="atLeast"/>
        </w:trPr>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rPr>
                <w:rFonts w:hint="eastAsia" w:ascii="黑体" w:hAnsi="黑体" w:eastAsia="黑体" w:cs="黑体"/>
                <w:color w:val="000000"/>
                <w:lang w:eastAsia="zh-CN"/>
              </w:rPr>
            </w:pPr>
            <w:r>
              <w:rPr>
                <w:rFonts w:hint="eastAsia" w:ascii="黑体" w:hAnsi="黑体" w:eastAsia="黑体" w:cs="黑体"/>
                <w:color w:val="000000"/>
                <w:lang w:eastAsia="zh-CN"/>
              </w:rPr>
              <w:t>序号</w:t>
            </w:r>
          </w:p>
        </w:tc>
        <w:tc>
          <w:tcPr>
            <w:tcW w:w="297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r>
              <w:rPr>
                <w:rFonts w:hint="eastAsia" w:ascii="黑体" w:hAnsi="黑体" w:eastAsia="黑体" w:cs="黑体"/>
                <w:color w:val="000000"/>
              </w:rPr>
              <w:t>企业（单位）名称</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both"/>
              <w:rPr>
                <w:rFonts w:hint="eastAsia" w:ascii="黑体" w:hAnsi="黑体" w:eastAsia="黑体" w:cs="黑体"/>
                <w:color w:val="000000"/>
              </w:rPr>
            </w:pPr>
            <w:r>
              <w:rPr>
                <w:rFonts w:hint="eastAsia" w:ascii="黑体" w:hAnsi="黑体" w:eastAsia="黑体" w:cs="黑体"/>
                <w:color w:val="000000"/>
              </w:rPr>
              <w:t>县（区）</w:t>
            </w:r>
          </w:p>
        </w:tc>
        <w:tc>
          <w:tcPr>
            <w:tcW w:w="205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rPr>
                <w:rFonts w:hint="eastAsia" w:ascii="黑体" w:hAnsi="黑体" w:eastAsia="黑体" w:cs="黑体"/>
                <w:color w:val="000000"/>
              </w:rPr>
            </w:pPr>
            <w:r>
              <w:rPr>
                <w:rFonts w:hint="eastAsia" w:ascii="黑体" w:hAnsi="黑体" w:eastAsia="黑体" w:cs="黑体"/>
                <w:color w:val="000000"/>
              </w:rPr>
              <w:t>锅炉型号</w:t>
            </w:r>
          </w:p>
        </w:tc>
        <w:tc>
          <w:tcPr>
            <w:tcW w:w="13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both"/>
              <w:textAlignment w:val="auto"/>
              <w:outlineLvl w:val="9"/>
              <w:rPr>
                <w:rFonts w:hint="eastAsia" w:ascii="黑体" w:hAnsi="黑体" w:eastAsia="黑体" w:cs="黑体"/>
                <w:color w:val="000000"/>
              </w:rPr>
            </w:pPr>
            <w:r>
              <w:rPr>
                <w:rFonts w:hint="eastAsia" w:ascii="黑体" w:hAnsi="黑体" w:eastAsia="黑体" w:cs="黑体"/>
                <w:color w:val="000000"/>
              </w:rPr>
              <w:t>锅炉规格（蒸吨/时）</w:t>
            </w: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r>
              <w:rPr>
                <w:rFonts w:hint="eastAsia" w:ascii="黑体" w:hAnsi="黑体" w:eastAsia="黑体" w:cs="黑体"/>
                <w:color w:val="000000"/>
              </w:rPr>
              <w:t>数量（台）</w:t>
            </w:r>
          </w:p>
        </w:tc>
        <w:tc>
          <w:tcPr>
            <w:tcW w:w="17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rPr>
                <w:rFonts w:hint="eastAsia" w:ascii="黑体" w:hAnsi="黑体" w:eastAsia="黑体" w:cs="黑体"/>
                <w:color w:val="000000"/>
              </w:rPr>
            </w:pPr>
            <w:r>
              <w:rPr>
                <w:rFonts w:hint="eastAsia" w:ascii="黑体" w:hAnsi="黑体" w:eastAsia="黑体" w:cs="黑体"/>
                <w:color w:val="000000"/>
              </w:rPr>
              <w:t>淘汰方式</w:t>
            </w:r>
          </w:p>
        </w:tc>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rPr>
                <w:rFonts w:hint="eastAsia" w:ascii="黑体" w:hAnsi="黑体" w:eastAsia="黑体" w:cs="黑体"/>
                <w:color w:val="000000"/>
              </w:rPr>
            </w:pPr>
            <w:r>
              <w:rPr>
                <w:rFonts w:hint="eastAsia" w:ascii="黑体" w:hAnsi="黑体" w:eastAsia="黑体" w:cs="黑体"/>
                <w:color w:val="000000"/>
              </w:rPr>
              <w:t>设备状态</w:t>
            </w:r>
          </w:p>
        </w:tc>
        <w:tc>
          <w:tcPr>
            <w:tcW w:w="193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color w:val="000000"/>
              </w:rPr>
            </w:pPr>
            <w:r>
              <w:rPr>
                <w:rFonts w:hint="eastAsia" w:ascii="黑体" w:hAnsi="黑体" w:eastAsia="黑体" w:cs="黑体"/>
                <w:color w:val="000000"/>
              </w:rPr>
              <w:t>计划完成淘汰时间</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rPr>
                <w:rFonts w:hint="eastAsia" w:ascii="黑体" w:hAnsi="黑体" w:eastAsia="黑体" w:cs="黑体"/>
                <w:color w:val="000000"/>
              </w:rPr>
            </w:pPr>
            <w:r>
              <w:rPr>
                <w:rFonts w:hint="eastAsia" w:ascii="黑体" w:hAnsi="黑体" w:eastAsia="黑体" w:cs="黑体"/>
                <w:color w:val="000000"/>
              </w:rPr>
              <w:t>备注</w:t>
            </w:r>
          </w:p>
        </w:tc>
      </w:tr>
      <w:tr>
        <w:tblPrEx>
          <w:tblLayout w:type="fixed"/>
          <w:tblCellMar>
            <w:top w:w="0" w:type="dxa"/>
            <w:left w:w="108" w:type="dxa"/>
            <w:bottom w:w="0" w:type="dxa"/>
            <w:right w:w="108" w:type="dxa"/>
          </w:tblCellMar>
        </w:tblPrEx>
        <w:trPr>
          <w:trHeight w:val="275" w:hRule="atLeast"/>
        </w:trPr>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c>
          <w:tcPr>
            <w:tcW w:w="297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c>
          <w:tcPr>
            <w:tcW w:w="205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c>
          <w:tcPr>
            <w:tcW w:w="131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c>
          <w:tcPr>
            <w:tcW w:w="172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rPr>
                <w:rFonts w:hint="eastAsia" w:ascii="黑体" w:hAnsi="黑体" w:eastAsia="黑体" w:cs="黑体"/>
                <w:color w:val="000000"/>
              </w:rPr>
            </w:pPr>
            <w:r>
              <w:rPr>
                <w:rFonts w:hint="eastAsia" w:ascii="黑体" w:hAnsi="黑体" w:eastAsia="黑体" w:cs="黑体"/>
                <w:color w:val="000000"/>
              </w:rPr>
              <w:t xml:space="preserve">年度 </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rPr>
                <w:rFonts w:hint="eastAsia" w:ascii="黑体" w:hAnsi="黑体" w:eastAsia="黑体" w:cs="黑体"/>
                <w:color w:val="000000"/>
              </w:rPr>
            </w:pPr>
            <w:r>
              <w:rPr>
                <w:rFonts w:hint="eastAsia" w:ascii="黑体" w:hAnsi="黑体" w:eastAsia="黑体" w:cs="黑体"/>
                <w:color w:val="000000"/>
              </w:rPr>
              <w:t>月份</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rPr>
                <w:rFonts w:hint="eastAsia" w:ascii="黑体" w:hAnsi="黑体" w:eastAsia="黑体" w:cs="黑体"/>
                <w:color w:val="000000"/>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绵阳锦瑞保温材料有限公司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涪城区</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DZL2-1.25-AII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绵阳市辉月食品加工坊</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涪城区</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LSG0.15-0.39-AIII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0.15</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绵阳市如玉木制品厂</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涪城区</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LHC0.7-0.39-AII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0.7</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4</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赵云龙养猪场</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涪城区</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LSG0.15-0.4-M</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0.15</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5</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绵阳市荣峰化肥有限公司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涪城区</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DZL2-1.25-AII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生物质或煤改电</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6</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绵阳市华川食品厂</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安州区</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LSG0.5-0.4-AIII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0.5</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7</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江油市橡胶厂</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KZL1-10-AIII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17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煤改电</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8</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江油御华纺织有限公司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SZW6-13-A</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4</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9</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四川翠微新型建材有限公司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SZL6-1.6-AⅡ</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6</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煤改生物质</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10</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江油李白故里酒业有限公司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SZL6-1.25-AⅡ</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0.3</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11</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江油市金昌纺织有限公司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DZL1-0.78-AⅢ</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12</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绵阳凯利达化工有限公司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DZL1-0.7-AⅢ</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13</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四川天誉制药有限公司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DZL2-1.25-AIII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煤改生物质</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14</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四川德华皮革制造有限公司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DZL4-1.25-AIII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6</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59"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15</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江油彰明金谷植物油有限公司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WWL4-13-AIII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4</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16</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江油市瑞康恒一建材有限公司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江油市</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LSG1-0.4-AⅢ</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停用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shd w:val="clear" w:color="auto" w:fill="FFFFFF"/>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422"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17</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三台县蟠龙酒业有限公司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三台县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DZL2-1.25-AII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307"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18</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四川永茂丝绸有限公司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三台县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DZL2-1.25-AIII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煤改气或电</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19</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四川永茂丝绸有限公司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三台县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DZL4-1.25-AIII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4</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20</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四川鑫淼科贸发展有限公司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盐亭县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LHC1.0-0.69-AII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332"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21</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绵阳市金明木业有限公司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盐亭县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SZL8-1.25-AII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8</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节能环保扩容改造</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3</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20" w:lineRule="exact"/>
              <w:jc w:val="center"/>
              <w:textAlignment w:val="center"/>
              <w:rPr>
                <w:rFonts w:hint="default" w:ascii="Times New Roman" w:hAnsi="Times New Roman" w:cs="Times New Roman"/>
                <w:b/>
                <w:color w:val="FF0000"/>
                <w:sz w:val="18"/>
              </w:rPr>
            </w:pPr>
            <w:r>
              <w:rPr>
                <w:rFonts w:hint="default" w:ascii="Times New Roman" w:hAnsi="Times New Roman" w:cs="Times New Roman"/>
                <w:color w:val="000000"/>
                <w:sz w:val="18"/>
              </w:rPr>
              <w:t>扩容后蒸吨数待定</w:t>
            </w:r>
          </w:p>
        </w:tc>
      </w:tr>
      <w:tr>
        <w:tblPrEx>
          <w:tblLayout w:type="fixed"/>
          <w:tblCellMar>
            <w:top w:w="0" w:type="dxa"/>
            <w:left w:w="108" w:type="dxa"/>
            <w:bottom w:w="0" w:type="dxa"/>
            <w:right w:w="108" w:type="dxa"/>
          </w:tblCellMar>
        </w:tblPrEx>
        <w:trPr>
          <w:trHeight w:val="324"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22</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绵阳市金明木业有限公司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盐亭县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DZG4-1.25-WII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4</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节能环保扩容改造</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3</w:t>
            </w: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307"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23</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四川东鑫油脂有限责任公司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DZG4-1.25-WII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4</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24</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四川东鑫油脂有限责任公司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YGL-230</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0.23</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25</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四川老山磨坊食品有限公司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 xml:space="preserve">DZL4-1.0-AⅡ </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4</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90"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26</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四川老山磨坊食品有限公司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DZL6-1.25-AⅢ</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6</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拆除报废</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27</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绵阳凯特包装材料有限公司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SZL6-1.25-AII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6</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28</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绵阳凯特包装材料有限公司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SZL10-1.25-AII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10</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29</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林江苎麻纺织有限公司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SZL6-1.25-AII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6</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30</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梓潼合力植化</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DZL2-1.25-WII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31</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四川艾尚乐活食品科技有限公司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WWL4-13-AII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4</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32</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四川艾尚乐活食品科技有限公司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YGL-700MA</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4</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33</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四川艾尚乐活食品科技有限公司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WNS4-1.25-YQ</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4</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34</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绵阳市均益农业科技开发有限公司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LHS0.3-0.7-Q</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35</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四川新瑞木业有限责任公司</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DZG2-1.0-AII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2020</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36</w:t>
            </w:r>
          </w:p>
        </w:tc>
        <w:tc>
          <w:tcPr>
            <w:tcW w:w="2976"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梓潼欣欣洗浴中心</w:t>
            </w:r>
          </w:p>
        </w:tc>
        <w:tc>
          <w:tcPr>
            <w:tcW w:w="10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LSG0.15-0.4-AIII</w:t>
            </w:r>
          </w:p>
        </w:tc>
        <w:tc>
          <w:tcPr>
            <w:tcW w:w="131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0.15</w:t>
            </w:r>
          </w:p>
        </w:tc>
        <w:tc>
          <w:tcPr>
            <w:tcW w:w="7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2020</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37</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梓潼县镁洁洗涤中心</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SHC1-1.0-AII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2020</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38</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绵阳市科艺包装制品有限公司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DZL4-1.25-AII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4</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2020</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39</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绵阳创王酒业有限公司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LSG0.3-0.4-AIII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0.3</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2020</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40</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梓潼县明兴老酒坊</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梓潼县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LSG0.3-0.04-AIII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0.32</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集中供热</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在用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2020</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12</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85"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41</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北川县美佳食品有限责任公司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北川县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DZL2-1.25-AIII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清洁能源替代</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2018</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11</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304"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42</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平武县鑫河木业有限责任公司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平武县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DZL2-1.27-AII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r>
        <w:tblPrEx>
          <w:tblLayout w:type="fixed"/>
          <w:tblCellMar>
            <w:top w:w="0" w:type="dxa"/>
            <w:left w:w="108" w:type="dxa"/>
            <w:bottom w:w="0" w:type="dxa"/>
            <w:right w:w="108" w:type="dxa"/>
          </w:tblCellMar>
        </w:tblPrEx>
        <w:trPr>
          <w:trHeight w:val="259"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N w:val="0"/>
              <w:jc w:val="center"/>
              <w:textAlignment w:val="bottom"/>
              <w:rPr>
                <w:rFonts w:hint="default" w:ascii="Times New Roman" w:hAnsi="Times New Roman" w:cs="Times New Roman"/>
                <w:bCs/>
                <w:color w:val="000000"/>
                <w:sz w:val="18"/>
              </w:rPr>
            </w:pPr>
            <w:r>
              <w:rPr>
                <w:rFonts w:hint="default" w:ascii="Times New Roman" w:hAnsi="Times New Roman" w:cs="Times New Roman"/>
                <w:bCs/>
                <w:color w:val="000000"/>
                <w:sz w:val="18"/>
              </w:rPr>
              <w:t>43</w:t>
            </w:r>
          </w:p>
        </w:tc>
        <w:tc>
          <w:tcPr>
            <w:tcW w:w="2976"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鑫河木业有限责任公司</w:t>
            </w:r>
          </w:p>
        </w:tc>
        <w:tc>
          <w:tcPr>
            <w:tcW w:w="10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平武县</w:t>
            </w:r>
          </w:p>
        </w:tc>
        <w:tc>
          <w:tcPr>
            <w:tcW w:w="2058"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left"/>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DZL2-1.27-AII</w:t>
            </w:r>
          </w:p>
        </w:tc>
        <w:tc>
          <w:tcPr>
            <w:tcW w:w="13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w:t>
            </w:r>
          </w:p>
        </w:tc>
        <w:tc>
          <w:tcPr>
            <w:tcW w:w="76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煤改气</w:t>
            </w:r>
          </w:p>
        </w:tc>
        <w:tc>
          <w:tcPr>
            <w:tcW w:w="705"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停用</w:t>
            </w:r>
          </w:p>
        </w:tc>
        <w:tc>
          <w:tcPr>
            <w:tcW w:w="1053"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2019</w:t>
            </w:r>
          </w:p>
        </w:tc>
        <w:tc>
          <w:tcPr>
            <w:tcW w:w="8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000000"/>
                <w:sz w:val="18"/>
              </w:rPr>
            </w:pPr>
            <w:r>
              <w:rPr>
                <w:rFonts w:hint="default" w:ascii="Times New Roman" w:hAnsi="Times New Roman" w:cs="Times New Roman"/>
                <w:color w:val="000000"/>
                <w:sz w:val="18"/>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color w:val="FF0000"/>
                <w:sz w:val="18"/>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仿宋_GB2312"/>
          <w:sz w:val="32"/>
          <w:szCs w:val="32"/>
        </w:rPr>
      </w:pPr>
      <w:r>
        <w:rPr>
          <w:rFonts w:hint="eastAsia" w:ascii="黑体" w:hAnsi="黑体" w:eastAsia="黑体" w:cs="仿宋_GB2312"/>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sz w:val="44"/>
          <w:szCs w:val="32"/>
        </w:rPr>
      </w:pPr>
      <w:r>
        <w:rPr>
          <w:rFonts w:hint="eastAsia" w:ascii="方正小标宋简体" w:hAnsi="方正小标宋简体" w:eastAsia="方正小标宋简体" w:cs="仿宋_GB2312"/>
          <w:sz w:val="44"/>
          <w:szCs w:val="32"/>
        </w:rPr>
        <w:t>绵阳市燃煤锅炉淘汰进展情况汇总表</w:t>
      </w:r>
    </w:p>
    <w:p>
      <w:pPr>
        <w:keepNext w:val="0"/>
        <w:keepLines w:val="0"/>
        <w:pageBreakBefore w:val="0"/>
        <w:widowControl/>
        <w:shd w:val="clear" w:color="auto" w:fill="FFFFFF"/>
        <w:kinsoku/>
        <w:wordWrap/>
        <w:overflowPunct/>
        <w:topLinePunct w:val="0"/>
        <w:autoSpaceDE/>
        <w:autoSpaceDN/>
        <w:bidi w:val="0"/>
        <w:adjustRightInd/>
        <w:snapToGrid w:val="0"/>
        <w:spacing w:line="240" w:lineRule="exact"/>
        <w:ind w:left="0" w:leftChars="0" w:right="0" w:rightChars="0" w:firstLine="0" w:firstLineChars="0"/>
        <w:jc w:val="left"/>
        <w:textAlignment w:val="auto"/>
        <w:outlineLvl w:val="9"/>
        <w:rPr>
          <w:rFonts w:hint="eastAsia" w:ascii="仿宋" w:hAnsi="仿宋" w:eastAsia="仿宋"/>
          <w:sz w:val="28"/>
          <w:szCs w:val="18"/>
          <w:shd w:val="clear" w:color="auto" w:fill="FFFFFF"/>
        </w:rPr>
      </w:pPr>
    </w:p>
    <w:p>
      <w:pPr>
        <w:widowControl/>
        <w:shd w:val="clear" w:color="auto" w:fill="FFFFFF"/>
        <w:snapToGrid w:val="0"/>
        <w:spacing w:line="360" w:lineRule="auto"/>
        <w:ind w:firstLine="280" w:firstLineChars="100"/>
        <w:jc w:val="left"/>
        <w:rPr>
          <w:rFonts w:hint="eastAsia" w:ascii="仿宋" w:hAnsi="仿宋" w:eastAsia="仿宋"/>
          <w:sz w:val="28"/>
          <w:szCs w:val="18"/>
          <w:shd w:val="clear" w:color="auto" w:fill="FFFFFF"/>
        </w:rPr>
      </w:pPr>
      <w:r>
        <w:rPr>
          <w:rFonts w:hint="eastAsia" w:ascii="仿宋" w:hAnsi="仿宋" w:eastAsia="仿宋"/>
          <w:sz w:val="28"/>
          <w:szCs w:val="18"/>
          <w:shd w:val="clear" w:color="auto" w:fill="FFFFFF"/>
        </w:rPr>
        <w:t>填报单位（盖章）：                                                        填报时间：</w:t>
      </w:r>
    </w:p>
    <w:tbl>
      <w:tblPr>
        <w:tblStyle w:val="19"/>
        <w:tblW w:w="13365" w:type="dxa"/>
        <w:tblInd w:w="46" w:type="dxa"/>
        <w:tblLayout w:type="fixed"/>
        <w:tblCellMar>
          <w:top w:w="0" w:type="dxa"/>
          <w:left w:w="108" w:type="dxa"/>
          <w:bottom w:w="0" w:type="dxa"/>
          <w:right w:w="108" w:type="dxa"/>
        </w:tblCellMar>
      </w:tblPr>
      <w:tblGrid>
        <w:gridCol w:w="765"/>
        <w:gridCol w:w="2060"/>
        <w:gridCol w:w="1420"/>
        <w:gridCol w:w="1257"/>
        <w:gridCol w:w="780"/>
        <w:gridCol w:w="2208"/>
        <w:gridCol w:w="1365"/>
        <w:gridCol w:w="2175"/>
        <w:gridCol w:w="1335"/>
      </w:tblGrid>
      <w:tr>
        <w:tblPrEx>
          <w:tblLayout w:type="fixed"/>
          <w:tblCellMar>
            <w:top w:w="0" w:type="dxa"/>
            <w:left w:w="108" w:type="dxa"/>
            <w:bottom w:w="0" w:type="dxa"/>
            <w:right w:w="108" w:type="dxa"/>
          </w:tblCellMar>
        </w:tblPrEx>
        <w:trPr>
          <w:trHeight w:val="740" w:hRule="atLeast"/>
        </w:trPr>
        <w:tc>
          <w:tcPr>
            <w:tcW w:w="76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序号</w:t>
            </w:r>
          </w:p>
        </w:tc>
        <w:tc>
          <w:tcPr>
            <w:tcW w:w="206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企业名称</w:t>
            </w:r>
          </w:p>
        </w:tc>
        <w:tc>
          <w:tcPr>
            <w:tcW w:w="142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锅炉型号</w:t>
            </w:r>
          </w:p>
        </w:tc>
        <w:tc>
          <w:tcPr>
            <w:tcW w:w="125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锅炉规格</w:t>
            </w:r>
          </w:p>
        </w:tc>
        <w:tc>
          <w:tcPr>
            <w:tcW w:w="78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数量</w:t>
            </w:r>
          </w:p>
        </w:tc>
        <w:tc>
          <w:tcPr>
            <w:tcW w:w="220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淘汰/改造进度</w:t>
            </w:r>
          </w:p>
        </w:tc>
        <w:tc>
          <w:tcPr>
            <w:tcW w:w="136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实施时间</w:t>
            </w:r>
          </w:p>
        </w:tc>
        <w:tc>
          <w:tcPr>
            <w:tcW w:w="217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预计原煤减少量（吨）</w:t>
            </w:r>
          </w:p>
        </w:tc>
        <w:tc>
          <w:tcPr>
            <w:tcW w:w="133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备注</w:t>
            </w:r>
          </w:p>
        </w:tc>
      </w:tr>
      <w:tr>
        <w:tblPrEx>
          <w:tblLayout w:type="fixed"/>
          <w:tblCellMar>
            <w:top w:w="0" w:type="dxa"/>
            <w:left w:w="108" w:type="dxa"/>
            <w:bottom w:w="0" w:type="dxa"/>
            <w:right w:w="108" w:type="dxa"/>
          </w:tblCellMar>
        </w:tblPrEx>
        <w:trPr>
          <w:trHeight w:val="645" w:hRule="atLeast"/>
        </w:trPr>
        <w:tc>
          <w:tcPr>
            <w:tcW w:w="76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0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45" w:hRule="atLeast"/>
        </w:trPr>
        <w:tc>
          <w:tcPr>
            <w:tcW w:w="76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0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45" w:hRule="atLeast"/>
        </w:trPr>
        <w:tc>
          <w:tcPr>
            <w:tcW w:w="76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p>
        </w:tc>
        <w:tc>
          <w:tcPr>
            <w:tcW w:w="206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25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78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20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3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17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33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645" w:hRule="atLeast"/>
        </w:trPr>
        <w:tc>
          <w:tcPr>
            <w:tcW w:w="76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p>
        </w:tc>
        <w:tc>
          <w:tcPr>
            <w:tcW w:w="206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25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78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20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3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17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33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645" w:hRule="atLeast"/>
        </w:trPr>
        <w:tc>
          <w:tcPr>
            <w:tcW w:w="765"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4"/>
              </w:rPr>
            </w:pPr>
          </w:p>
        </w:tc>
        <w:tc>
          <w:tcPr>
            <w:tcW w:w="206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42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25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780"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208"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36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217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1335"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r>
      <w:tr>
        <w:tblPrEx>
          <w:tblLayout w:type="fixed"/>
          <w:tblCellMar>
            <w:top w:w="0" w:type="dxa"/>
            <w:left w:w="108" w:type="dxa"/>
            <w:bottom w:w="0" w:type="dxa"/>
            <w:right w:w="108" w:type="dxa"/>
          </w:tblCellMar>
        </w:tblPrEx>
        <w:trPr>
          <w:trHeight w:val="645" w:hRule="atLeast"/>
        </w:trPr>
        <w:tc>
          <w:tcPr>
            <w:tcW w:w="76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0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45" w:hRule="atLeast"/>
        </w:trPr>
        <w:tc>
          <w:tcPr>
            <w:tcW w:w="76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0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45" w:hRule="atLeast"/>
        </w:trPr>
        <w:tc>
          <w:tcPr>
            <w:tcW w:w="76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57"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24"/>
              </w:rPr>
            </w:pPr>
          </w:p>
        </w:tc>
        <w:tc>
          <w:tcPr>
            <w:tcW w:w="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20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6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17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3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620" w:lineRule="exact"/>
        <w:rPr>
          <w:rFonts w:hint="eastAsia" w:ascii="黑体" w:hAnsi="黑体" w:eastAsia="黑体" w:cs="仿宋_GB2312"/>
          <w:sz w:val="32"/>
          <w:szCs w:val="32"/>
        </w:rPr>
        <w:sectPr>
          <w:footerReference r:id="rId5" w:type="default"/>
          <w:footerReference r:id="rId6" w:type="even"/>
          <w:pgSz w:w="16441" w:h="10772" w:orient="landscape"/>
          <w:pgMar w:top="907" w:right="1417" w:bottom="907" w:left="1417" w:header="851" w:footer="1134" w:gutter="0"/>
          <w:pgNumType w:fmt="numberInDash"/>
          <w:cols w:space="720" w:num="1"/>
          <w:rtlGutter w:val="0"/>
          <w:docGrid w:type="lines" w:linePitch="319"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仿宋_GB2312"/>
          <w:sz w:val="32"/>
          <w:szCs w:val="32"/>
        </w:rPr>
      </w:pPr>
      <w:r>
        <w:rPr>
          <w:rFonts w:hint="eastAsia" w:ascii="黑体" w:hAnsi="黑体" w:eastAsia="黑体" w:cs="仿宋_GB2312"/>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仿宋_GB2312"/>
          <w:sz w:val="44"/>
          <w:szCs w:val="32"/>
        </w:rPr>
      </w:pPr>
      <w:r>
        <w:rPr>
          <w:rFonts w:hint="eastAsia" w:ascii="方正小标宋简体" w:hAnsi="方正小标宋简体" w:eastAsia="方正小标宋简体" w:cs="仿宋_GB2312"/>
          <w:sz w:val="44"/>
          <w:szCs w:val="32"/>
        </w:rPr>
        <w:t>绵阳市燃煤锅炉淘汰验收材料清单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一、绵阳市燃煤小锅炉淘汰验收表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黑体" w:hAnsi="黑体" w:eastAsia="黑体" w:cs="黑体"/>
          <w:sz w:val="32"/>
          <w:szCs w:val="32"/>
        </w:rPr>
      </w:pPr>
      <w:r>
        <w:rPr>
          <w:rFonts w:hint="default" w:ascii="黑体" w:hAnsi="黑体" w:eastAsia="黑体" w:cs="黑体"/>
          <w:sz w:val="32"/>
          <w:szCs w:val="32"/>
        </w:rPr>
        <w:t>二、验收申请材料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1.燃煤锅炉产权单位提交的验收申请报告。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3.质监部门对原有燃煤锅炉出具的锅炉使用登记证。</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4.锅炉淘汰（改造）前后现场彩色照片。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拆除报废的另行提供：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质监部门出具的锅炉注销证明。</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实施改造的另行提供：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具有相关资质的环境监测或检测机构出具的验收监测报告；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特检机构出具的锅炉改造监督检验合格报告；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新建锅炉生产单位及改造单位的资质证书；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rightChars="0" w:firstLine="645" w:firstLine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锅炉改造后使用电、天然气等需提供电力、燃气公司通电、气证明及用电、气量缴费证明。</w:t>
      </w:r>
    </w:p>
    <w:p>
      <w:pPr>
        <w:snapToGrid w:val="0"/>
        <w:spacing w:line="360" w:lineRule="auto"/>
        <w:rPr>
          <w:rFonts w:hint="eastAsia" w:ascii="仿宋" w:hAnsi="仿宋" w:eastAsia="仿宋"/>
          <w:sz w:val="32"/>
          <w:shd w:val="clear" w:color="auto" w:fill="FFFFFF"/>
        </w:rPr>
      </w:pPr>
    </w:p>
    <w:p>
      <w:pPr>
        <w:snapToGrid w:val="0"/>
        <w:spacing w:line="360" w:lineRule="auto"/>
        <w:rPr>
          <w:rFonts w:hint="eastAsia" w:ascii="仿宋" w:hAnsi="仿宋" w:eastAsia="仿宋"/>
          <w:sz w:val="32"/>
          <w:shd w:val="clear" w:color="auto" w:fill="FFFFFF"/>
        </w:rPr>
      </w:pPr>
    </w:p>
    <w:p>
      <w:pPr>
        <w:snapToGrid w:val="0"/>
        <w:spacing w:line="360" w:lineRule="auto"/>
        <w:rPr>
          <w:rFonts w:hint="eastAsia" w:ascii="仿宋" w:hAnsi="仿宋" w:eastAsia="仿宋"/>
          <w:sz w:val="32"/>
          <w:shd w:val="clear" w:color="auto" w:fill="FFFFFF"/>
        </w:rPr>
      </w:pPr>
    </w:p>
    <w:p>
      <w:pPr>
        <w:snapToGrid w:val="0"/>
        <w:spacing w:line="360" w:lineRule="auto"/>
        <w:rPr>
          <w:rFonts w:hint="eastAsia" w:ascii="仿宋" w:hAnsi="仿宋" w:eastAsia="仿宋"/>
          <w:sz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宋体" w:cs="宋体"/>
          <w:kern w:val="0"/>
          <w:sz w:val="36"/>
          <w:szCs w:val="36"/>
        </w:rPr>
      </w:pPr>
      <w:r>
        <w:rPr>
          <w:rFonts w:hint="eastAsia" w:ascii="方正小标宋简体" w:hAnsi="宋体" w:eastAsia="方正小标宋简体" w:cs="仿宋"/>
          <w:bCs/>
          <w:kern w:val="0"/>
          <w:sz w:val="44"/>
          <w:szCs w:val="44"/>
        </w:rPr>
        <w:t>绵阳市燃煤小锅炉淘汰验收表</w:t>
      </w:r>
      <w:r>
        <w:rPr>
          <w:rFonts w:ascii="宋体" w:cs="宋体"/>
          <w:kern w:val="0"/>
          <w:sz w:val="36"/>
          <w:szCs w:val="36"/>
        </w:rPr>
        <w:t> </w:t>
      </w:r>
    </w:p>
    <w:p>
      <w:pPr>
        <w:keepNext w:val="0"/>
        <w:keepLines w:val="0"/>
        <w:pageBreakBefore w:val="0"/>
        <w:widowControl/>
        <w:shd w:val="clear" w:color="auto" w:fill="FFFFFF"/>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cs="宋体"/>
          <w:kern w:val="0"/>
          <w:sz w:val="36"/>
          <w:szCs w:val="36"/>
        </w:rPr>
      </w:pPr>
    </w:p>
    <w:tbl>
      <w:tblPr>
        <w:tblStyle w:val="19"/>
        <w:tblW w:w="8973" w:type="dxa"/>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35"/>
        <w:gridCol w:w="2128"/>
        <w:gridCol w:w="2000"/>
        <w:gridCol w:w="6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 w:hRule="atLeast"/>
        </w:trPr>
        <w:tc>
          <w:tcPr>
            <w:tcW w:w="2535"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锅炉用户名称（盖章）</w:t>
            </w:r>
          </w:p>
        </w:tc>
        <w:tc>
          <w:tcPr>
            <w:tcW w:w="6438" w:type="dxa"/>
            <w:gridSpan w:val="4"/>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4" w:hRule="atLeast"/>
        </w:trPr>
        <w:tc>
          <w:tcPr>
            <w:tcW w:w="2535"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使用单位详细地址</w:t>
            </w:r>
          </w:p>
        </w:tc>
        <w:tc>
          <w:tcPr>
            <w:tcW w:w="6438" w:type="dxa"/>
            <w:gridSpan w:val="4"/>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 w:hRule="atLeast"/>
        </w:trPr>
        <w:tc>
          <w:tcPr>
            <w:tcW w:w="2535"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法人代表</w:t>
            </w:r>
          </w:p>
        </w:tc>
        <w:tc>
          <w:tcPr>
            <w:tcW w:w="2128"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c>
          <w:tcPr>
            <w:tcW w:w="2060" w:type="dxa"/>
            <w:gridSpan w:val="2"/>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联系人及电话</w:t>
            </w:r>
          </w:p>
        </w:tc>
        <w:tc>
          <w:tcPr>
            <w:tcW w:w="2250"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 w:hRule="atLeast"/>
        </w:trPr>
        <w:tc>
          <w:tcPr>
            <w:tcW w:w="2535"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原锅炉型号</w:t>
            </w:r>
          </w:p>
        </w:tc>
        <w:tc>
          <w:tcPr>
            <w:tcW w:w="2128"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c>
          <w:tcPr>
            <w:tcW w:w="2060" w:type="dxa"/>
            <w:gridSpan w:val="2"/>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原锅炉蒸吨数</w:t>
            </w:r>
          </w:p>
        </w:tc>
        <w:tc>
          <w:tcPr>
            <w:tcW w:w="2250"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2" w:hRule="atLeast"/>
        </w:trPr>
        <w:tc>
          <w:tcPr>
            <w:tcW w:w="2535" w:type="dxa"/>
            <w:tcMar>
              <w:top w:w="0" w:type="dxa"/>
              <w:left w:w="108" w:type="dxa"/>
              <w:bottom w:w="0" w:type="dxa"/>
              <w:right w:w="108" w:type="dxa"/>
            </w:tcMar>
            <w:vAlign w:val="center"/>
          </w:tcPr>
          <w:p>
            <w:pPr>
              <w:widowControl/>
              <w:spacing w:line="0" w:lineRule="atLeast"/>
              <w:jc w:val="center"/>
              <w:rPr>
                <w:rFonts w:hint="eastAsia" w:ascii="宋体" w:hAnsi="宋体" w:cs="楷体_GB2312"/>
                <w:kern w:val="0"/>
                <w:sz w:val="24"/>
              </w:rPr>
            </w:pPr>
            <w:r>
              <w:rPr>
                <w:rFonts w:hint="eastAsia" w:ascii="宋体" w:hAnsi="宋体" w:cs="楷体_GB2312"/>
                <w:kern w:val="0"/>
                <w:sz w:val="24"/>
              </w:rPr>
              <w:t>淘汰或改燃</w:t>
            </w:r>
          </w:p>
          <w:p>
            <w:pPr>
              <w:widowControl/>
              <w:spacing w:line="0" w:lineRule="atLeast"/>
              <w:jc w:val="center"/>
              <w:rPr>
                <w:rFonts w:ascii="宋体" w:hAnsi="宋体" w:cs="宋体"/>
                <w:kern w:val="0"/>
                <w:sz w:val="24"/>
              </w:rPr>
            </w:pPr>
            <w:r>
              <w:rPr>
                <w:rFonts w:hint="eastAsia" w:ascii="宋体" w:hAnsi="宋体" w:cs="楷体_GB2312"/>
                <w:kern w:val="0"/>
                <w:sz w:val="24"/>
              </w:rPr>
              <w:t>清洁能源内容</w:t>
            </w:r>
          </w:p>
        </w:tc>
        <w:tc>
          <w:tcPr>
            <w:tcW w:w="6438" w:type="dxa"/>
            <w:gridSpan w:val="4"/>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trPr>
        <w:tc>
          <w:tcPr>
            <w:tcW w:w="2535"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新建（改造）</w:t>
            </w:r>
          </w:p>
          <w:p>
            <w:pPr>
              <w:widowControl/>
              <w:spacing w:line="0" w:lineRule="atLeast"/>
              <w:jc w:val="center"/>
              <w:rPr>
                <w:rFonts w:ascii="宋体" w:hAnsi="宋体" w:cs="宋体"/>
                <w:kern w:val="0"/>
                <w:sz w:val="24"/>
              </w:rPr>
            </w:pPr>
            <w:r>
              <w:rPr>
                <w:rFonts w:hint="eastAsia" w:ascii="宋体" w:hAnsi="宋体" w:cs="楷体_GB2312"/>
                <w:kern w:val="0"/>
                <w:sz w:val="24"/>
              </w:rPr>
              <w:t>锅炉型号</w:t>
            </w:r>
          </w:p>
        </w:tc>
        <w:tc>
          <w:tcPr>
            <w:tcW w:w="2128"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c>
          <w:tcPr>
            <w:tcW w:w="2000"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新建（改造）</w:t>
            </w:r>
          </w:p>
          <w:p>
            <w:pPr>
              <w:widowControl/>
              <w:spacing w:line="0" w:lineRule="atLeast"/>
              <w:jc w:val="center"/>
              <w:rPr>
                <w:rFonts w:ascii="宋体" w:hAnsi="宋体" w:cs="宋体"/>
                <w:kern w:val="0"/>
                <w:sz w:val="24"/>
              </w:rPr>
            </w:pPr>
            <w:r>
              <w:rPr>
                <w:rFonts w:hint="eastAsia" w:ascii="宋体" w:hAnsi="宋体" w:cs="楷体_GB2312"/>
                <w:kern w:val="0"/>
                <w:sz w:val="24"/>
              </w:rPr>
              <w:t>锅炉蒸吨数</w:t>
            </w:r>
          </w:p>
        </w:tc>
        <w:tc>
          <w:tcPr>
            <w:tcW w:w="2310" w:type="dxa"/>
            <w:gridSpan w:val="2"/>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5" w:hRule="atLeast"/>
        </w:trPr>
        <w:tc>
          <w:tcPr>
            <w:tcW w:w="2535"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新建锅炉生产商</w:t>
            </w:r>
          </w:p>
        </w:tc>
        <w:tc>
          <w:tcPr>
            <w:tcW w:w="2128"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c>
          <w:tcPr>
            <w:tcW w:w="2000"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新建锅炉生产商资质及编号</w:t>
            </w:r>
          </w:p>
        </w:tc>
        <w:tc>
          <w:tcPr>
            <w:tcW w:w="2310" w:type="dxa"/>
            <w:gridSpan w:val="2"/>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5" w:hRule="atLeast"/>
        </w:trPr>
        <w:tc>
          <w:tcPr>
            <w:tcW w:w="2535"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新建（改造）锅炉</w:t>
            </w:r>
          </w:p>
          <w:p>
            <w:pPr>
              <w:widowControl/>
              <w:spacing w:line="0" w:lineRule="atLeast"/>
              <w:jc w:val="center"/>
              <w:rPr>
                <w:rFonts w:ascii="宋体" w:hAnsi="宋体" w:cs="宋体"/>
                <w:kern w:val="0"/>
                <w:sz w:val="24"/>
              </w:rPr>
            </w:pPr>
            <w:r>
              <w:rPr>
                <w:rFonts w:hint="eastAsia" w:ascii="宋体" w:hAnsi="宋体" w:cs="楷体_GB2312"/>
                <w:kern w:val="0"/>
                <w:sz w:val="24"/>
              </w:rPr>
              <w:t>安装（改造）商</w:t>
            </w:r>
          </w:p>
        </w:tc>
        <w:tc>
          <w:tcPr>
            <w:tcW w:w="2128"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c>
          <w:tcPr>
            <w:tcW w:w="2000"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新建（改造）</w:t>
            </w:r>
          </w:p>
          <w:p>
            <w:pPr>
              <w:widowControl/>
              <w:spacing w:line="0" w:lineRule="atLeast"/>
              <w:jc w:val="center"/>
              <w:rPr>
                <w:rFonts w:ascii="宋体" w:hAnsi="宋体" w:cs="宋体"/>
                <w:kern w:val="0"/>
                <w:sz w:val="24"/>
              </w:rPr>
            </w:pPr>
            <w:r>
              <w:rPr>
                <w:rFonts w:hint="eastAsia" w:ascii="宋体" w:hAnsi="宋体" w:cs="楷体_GB2312"/>
                <w:kern w:val="0"/>
                <w:sz w:val="24"/>
              </w:rPr>
              <w:t>锅炉安装（改造）</w:t>
            </w:r>
          </w:p>
          <w:p>
            <w:pPr>
              <w:widowControl/>
              <w:spacing w:line="0" w:lineRule="atLeast"/>
              <w:jc w:val="center"/>
              <w:rPr>
                <w:rFonts w:ascii="宋体" w:hAnsi="宋体" w:cs="宋体"/>
                <w:kern w:val="0"/>
                <w:sz w:val="24"/>
              </w:rPr>
            </w:pPr>
            <w:r>
              <w:rPr>
                <w:rFonts w:hint="eastAsia" w:ascii="宋体" w:hAnsi="宋体" w:cs="楷体_GB2312"/>
                <w:kern w:val="0"/>
                <w:sz w:val="24"/>
              </w:rPr>
              <w:t>商资质及编号</w:t>
            </w:r>
          </w:p>
        </w:tc>
        <w:tc>
          <w:tcPr>
            <w:tcW w:w="2310" w:type="dxa"/>
            <w:gridSpan w:val="2"/>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0" w:hRule="atLeast"/>
        </w:trPr>
        <w:tc>
          <w:tcPr>
            <w:tcW w:w="2535" w:type="dxa"/>
            <w:tcMar>
              <w:top w:w="0" w:type="dxa"/>
              <w:left w:w="108" w:type="dxa"/>
              <w:bottom w:w="0" w:type="dxa"/>
              <w:right w:w="108" w:type="dxa"/>
            </w:tcMar>
            <w:vAlign w:val="center"/>
          </w:tcPr>
          <w:p>
            <w:pPr>
              <w:widowControl/>
              <w:spacing w:line="0" w:lineRule="atLeast"/>
              <w:jc w:val="center"/>
              <w:rPr>
                <w:rFonts w:hint="eastAsia" w:ascii="宋体" w:hAnsi="宋体" w:cs="宋体"/>
                <w:kern w:val="0"/>
                <w:sz w:val="24"/>
              </w:rPr>
            </w:pPr>
            <w:r>
              <w:rPr>
                <w:rFonts w:hint="eastAsia" w:ascii="宋体" w:hAnsi="宋体" w:cs="楷体_GB2312"/>
                <w:kern w:val="0"/>
                <w:sz w:val="24"/>
              </w:rPr>
              <w:t>乡镇(街道)相关部门验收意见</w:t>
            </w:r>
          </w:p>
        </w:tc>
        <w:tc>
          <w:tcPr>
            <w:tcW w:w="6438" w:type="dxa"/>
            <w:gridSpan w:val="4"/>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ascii="宋体" w:hAnsi="宋体" w:cs="宋体"/>
                <w:kern w:val="0"/>
                <w:sz w:val="24"/>
              </w:rPr>
              <w:t> </w:t>
            </w:r>
          </w:p>
          <w:p>
            <w:pPr>
              <w:widowControl/>
              <w:spacing w:line="0" w:lineRule="atLeast"/>
              <w:jc w:val="center"/>
              <w:rPr>
                <w:rFonts w:ascii="宋体" w:hAnsi="宋体" w:cs="宋体"/>
                <w:kern w:val="0"/>
                <w:sz w:val="24"/>
              </w:rPr>
            </w:pPr>
          </w:p>
          <w:p>
            <w:pPr>
              <w:widowControl/>
              <w:spacing w:line="0" w:lineRule="atLeast"/>
              <w:jc w:val="center"/>
              <w:rPr>
                <w:rFonts w:ascii="宋体" w:hAnsi="宋体" w:cs="宋体"/>
                <w:kern w:val="0"/>
                <w:sz w:val="24"/>
              </w:rPr>
            </w:pPr>
          </w:p>
          <w:p>
            <w:pPr>
              <w:widowControl/>
              <w:spacing w:line="0" w:lineRule="atLeast"/>
              <w:rPr>
                <w:rFonts w:hint="eastAsia" w:ascii="宋体" w:hAnsi="宋体" w:cs="宋体"/>
                <w:kern w:val="0"/>
                <w:sz w:val="24"/>
              </w:rPr>
            </w:pPr>
            <w:r>
              <w:rPr>
                <w:rFonts w:hint="eastAsia" w:ascii="宋体" w:hAnsi="宋体" w:cs="宋体"/>
                <w:kern w:val="0"/>
                <w:sz w:val="24"/>
              </w:rPr>
              <w:t xml:space="preserve">  </w:t>
            </w:r>
          </w:p>
          <w:p>
            <w:pPr>
              <w:widowControl/>
              <w:spacing w:line="0" w:lineRule="atLeast"/>
              <w:rPr>
                <w:rFonts w:hint="eastAsia" w:ascii="宋体" w:hAnsi="宋体" w:cs="宋体"/>
                <w:kern w:val="0"/>
                <w:sz w:val="24"/>
              </w:rPr>
            </w:pPr>
          </w:p>
          <w:p>
            <w:pPr>
              <w:widowControl/>
              <w:spacing w:line="0" w:lineRule="atLeast"/>
              <w:rPr>
                <w:rFonts w:hint="eastAsia" w:ascii="宋体" w:hAnsi="宋体" w:cs="宋体"/>
                <w:kern w:val="0"/>
                <w:sz w:val="24"/>
              </w:rPr>
            </w:pPr>
            <w:r>
              <w:rPr>
                <w:rFonts w:hint="eastAsia" w:ascii="宋体" w:hAnsi="宋体" w:cs="宋体"/>
                <w:kern w:val="0"/>
                <w:sz w:val="24"/>
              </w:rPr>
              <w:t xml:space="preserve">验收组成员（签字）： </w:t>
            </w:r>
          </w:p>
          <w:p>
            <w:pPr>
              <w:widowControl/>
              <w:spacing w:line="0" w:lineRule="atLeast"/>
              <w:rPr>
                <w:rFonts w:hint="eastAsia" w:ascii="宋体" w:hAnsi="宋体" w:cs="宋体"/>
                <w:kern w:val="0"/>
                <w:sz w:val="24"/>
              </w:rPr>
            </w:pPr>
            <w:r>
              <w:rPr>
                <w:rFonts w:hint="eastAsia" w:ascii="宋体" w:hAnsi="宋体" w:cs="宋体"/>
                <w:kern w:val="0"/>
                <w:sz w:val="24"/>
              </w:rPr>
              <w:t xml:space="preserve">验收组组长单位（盖章）：  </w:t>
            </w:r>
          </w:p>
          <w:p>
            <w:pPr>
              <w:widowControl/>
              <w:spacing w:line="0" w:lineRule="atLeast"/>
              <w:jc w:val="center"/>
              <w:rPr>
                <w:rFonts w:ascii="宋体" w:hAnsi="宋体" w:cs="宋体"/>
                <w:kern w:val="0"/>
                <w:sz w:val="24"/>
              </w:rPr>
            </w:pPr>
            <w:r>
              <w:rPr>
                <w:rFonts w:hint="eastAsia" w:ascii="宋体" w:hAnsi="宋体" w:cs="宋体"/>
                <w:kern w:val="0"/>
                <w:sz w:val="24"/>
              </w:rPr>
              <w:t xml:space="preserve">                               年    月     日   </w:t>
            </w:r>
            <w:r>
              <w:rPr>
                <w:rFonts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3" w:hRule="atLeast"/>
        </w:trPr>
        <w:tc>
          <w:tcPr>
            <w:tcW w:w="2535" w:type="dxa"/>
            <w:tcMar>
              <w:top w:w="0" w:type="dxa"/>
              <w:left w:w="108" w:type="dxa"/>
              <w:bottom w:w="0" w:type="dxa"/>
              <w:right w:w="108" w:type="dxa"/>
            </w:tcMar>
            <w:vAlign w:val="center"/>
          </w:tcPr>
          <w:p>
            <w:pPr>
              <w:widowControl/>
              <w:spacing w:line="0" w:lineRule="atLeast"/>
              <w:jc w:val="center"/>
              <w:rPr>
                <w:rFonts w:ascii="宋体" w:hAnsi="宋体" w:cs="宋体"/>
                <w:kern w:val="0"/>
                <w:sz w:val="24"/>
              </w:rPr>
            </w:pPr>
            <w:r>
              <w:rPr>
                <w:rFonts w:hint="eastAsia" w:ascii="宋体" w:hAnsi="宋体" w:cs="楷体_GB2312"/>
                <w:kern w:val="0"/>
                <w:sz w:val="24"/>
              </w:rPr>
              <w:t>县市区（园区）相关部门审核意见</w:t>
            </w:r>
          </w:p>
          <w:p>
            <w:pPr>
              <w:widowControl/>
              <w:spacing w:line="0" w:lineRule="atLeast"/>
              <w:ind w:firstLine="6510"/>
              <w:jc w:val="center"/>
              <w:rPr>
                <w:rFonts w:hint="eastAsia" w:ascii="宋体" w:hAnsi="宋体" w:cs="楷体_GB2312"/>
                <w:kern w:val="0"/>
                <w:sz w:val="24"/>
              </w:rPr>
            </w:pPr>
          </w:p>
          <w:p>
            <w:pPr>
              <w:widowControl/>
              <w:spacing w:line="0" w:lineRule="atLeast"/>
              <w:ind w:firstLine="6510"/>
              <w:jc w:val="center"/>
              <w:rPr>
                <w:rFonts w:hint="eastAsia" w:ascii="宋体" w:hAnsi="宋体" w:cs="楷体_GB2312"/>
                <w:kern w:val="0"/>
                <w:sz w:val="24"/>
              </w:rPr>
            </w:pPr>
          </w:p>
          <w:p>
            <w:pPr>
              <w:widowControl/>
              <w:spacing w:line="0" w:lineRule="atLeast"/>
              <w:ind w:firstLine="6510"/>
              <w:jc w:val="center"/>
              <w:rPr>
                <w:rFonts w:hint="eastAsia" w:ascii="宋体" w:hAnsi="宋体" w:cs="楷体_GB2312"/>
                <w:kern w:val="0"/>
                <w:sz w:val="24"/>
              </w:rPr>
            </w:pPr>
            <w:r>
              <w:rPr>
                <w:rFonts w:hint="eastAsia" w:ascii="宋体" w:hAnsi="宋体" w:cs="楷体_GB2312"/>
                <w:kern w:val="0"/>
                <w:sz w:val="24"/>
              </w:rPr>
              <w:t>年</w:t>
            </w:r>
          </w:p>
        </w:tc>
        <w:tc>
          <w:tcPr>
            <w:tcW w:w="6438" w:type="dxa"/>
            <w:gridSpan w:val="4"/>
            <w:tcMar>
              <w:top w:w="0" w:type="dxa"/>
              <w:left w:w="108" w:type="dxa"/>
              <w:bottom w:w="0" w:type="dxa"/>
              <w:right w:w="108" w:type="dxa"/>
            </w:tcMar>
            <w:vAlign w:val="top"/>
          </w:tcPr>
          <w:p>
            <w:pPr>
              <w:widowControl/>
              <w:spacing w:line="0" w:lineRule="atLeast"/>
              <w:ind w:firstLine="6510"/>
              <w:jc w:val="left"/>
              <w:rPr>
                <w:rFonts w:ascii="宋体" w:hAnsi="宋体" w:cs="宋体"/>
                <w:kern w:val="0"/>
                <w:sz w:val="24"/>
              </w:rPr>
            </w:pPr>
          </w:p>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rPr>
            </w:pPr>
          </w:p>
          <w:p>
            <w:pPr>
              <w:widowControl/>
              <w:spacing w:line="0" w:lineRule="atLeast"/>
              <w:rPr>
                <w:rFonts w:hint="eastAsia" w:ascii="宋体" w:hAnsi="宋体" w:cs="宋体"/>
                <w:kern w:val="0"/>
                <w:sz w:val="24"/>
              </w:rPr>
            </w:pPr>
            <w:r>
              <w:rPr>
                <w:rFonts w:hint="eastAsia"/>
              </w:rPr>
              <w:t xml:space="preserve">  </w:t>
            </w:r>
            <w:r>
              <w:rPr>
                <w:rFonts w:hint="eastAsia" w:ascii="宋体" w:hAnsi="宋体" w:cs="宋体"/>
                <w:kern w:val="0"/>
                <w:sz w:val="24"/>
              </w:rPr>
              <w:t xml:space="preserve">验收组成员（签字）： </w:t>
            </w:r>
          </w:p>
          <w:p>
            <w:pPr>
              <w:widowControl/>
              <w:spacing w:line="0" w:lineRule="atLeast"/>
              <w:rPr>
                <w:rFonts w:hint="eastAsia" w:ascii="宋体" w:hAnsi="宋体" w:cs="宋体"/>
                <w:kern w:val="0"/>
                <w:sz w:val="24"/>
              </w:rPr>
            </w:pPr>
            <w:r>
              <w:rPr>
                <w:rFonts w:hint="eastAsia" w:ascii="宋体" w:hAnsi="宋体" w:cs="宋体"/>
                <w:kern w:val="0"/>
                <w:sz w:val="24"/>
              </w:rPr>
              <w:t xml:space="preserve">  验收组组长单位（盖章）：  </w:t>
            </w:r>
          </w:p>
          <w:p>
            <w:pPr>
              <w:tabs>
                <w:tab w:val="left" w:pos="1140"/>
              </w:tabs>
              <w:jc w:val="left"/>
            </w:pPr>
            <w:r>
              <w:rPr>
                <w:rFonts w:hint="eastAsia" w:ascii="宋体" w:hAnsi="宋体" w:cs="宋体"/>
                <w:kern w:val="0"/>
                <w:sz w:val="24"/>
              </w:rPr>
              <w:t xml:space="preserve">                               年    月     日</w:t>
            </w:r>
          </w:p>
        </w:tc>
      </w:tr>
    </w:tbl>
    <w:p>
      <w:pPr>
        <w:widowControl/>
        <w:shd w:val="clear" w:color="auto" w:fill="FFFFFF"/>
        <w:spacing w:line="576" w:lineRule="exact"/>
        <w:jc w:val="center"/>
        <w:rPr>
          <w:rFonts w:hint="eastAsia" w:ascii="方正小标宋简体" w:hAnsi="宋体" w:eastAsia="方正小标宋简体" w:cs="仿宋"/>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Cs/>
          <w:kern w:val="0"/>
          <w:sz w:val="44"/>
          <w:szCs w:val="44"/>
        </w:rPr>
        <w:t>承   诺   书</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rightChars="0"/>
        <w:jc w:val="left"/>
        <w:textAlignment w:val="auto"/>
        <w:outlineLvl w:val="9"/>
        <w:rPr>
          <w:rFonts w:hint="default" w:ascii="Times New Roman" w:hAnsi="Times New Roman" w:eastAsia="方正仿宋_GBK" w:cs="Times New Roman"/>
          <w:kern w:val="0"/>
          <w:sz w:val="32"/>
          <w:szCs w:val="32"/>
        </w:rPr>
      </w:pPr>
      <w:r>
        <w:rPr>
          <w:rFonts w:hint="eastAsia" w:ascii="仿宋_GB2312" w:hAnsi="仿宋_GB2312" w:eastAsia="仿宋_GB2312" w:cs="宋体"/>
          <w:kern w:val="0"/>
          <w:sz w:val="32"/>
          <w:szCs w:val="18"/>
        </w:rPr>
        <w:t> </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本单位已对   台燃煤锅炉（型号：             ，合计蒸吨数：       蒸吨/小时）实施淘汰/改燃清洁能源，现郑重承诺以下内容：</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所提交的验收申报材料真实无误；已淘汰的燃煤锅炉不再使用，改燃清洁能源的高污染燃料锅炉不再使用高污染燃料；已淘汰或改燃清洁能源的情况接受相关部门的现场监督核实。如有违反上述承诺的不诚信行为</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愿意承担由此引发的全部责任。</w:t>
      </w:r>
    </w:p>
    <w:p>
      <w:pPr>
        <w:keepNext w:val="0"/>
        <w:keepLines w:val="0"/>
        <w:pageBreakBefore w:val="0"/>
        <w:widowControl/>
        <w:shd w:val="clear" w:color="auto" w:fill="FFFFFF"/>
        <w:kinsoku/>
        <w:wordWrap/>
        <w:overflowPunct/>
        <w:topLinePunct w:val="0"/>
        <w:autoSpaceDE/>
        <w:autoSpaceDN/>
        <w:bidi w:val="0"/>
        <w:adjustRightInd/>
        <w:snapToGrid w:val="0"/>
        <w:spacing w:line="600" w:lineRule="exact"/>
        <w:ind w:left="0" w:leftChars="0" w:right="0" w:rightChars="0" w:firstLine="64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rightChars="0" w:firstLine="640"/>
        <w:jc w:val="left"/>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rightChars="0" w:firstLine="640"/>
        <w:jc w:val="center"/>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单位名称（盖章）：</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rightChars="0" w:firstLine="640"/>
        <w:jc w:val="center"/>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单位法人签名：</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rightChars="0" w:firstLine="645"/>
        <w:jc w:val="left"/>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rPr>
        <w:t xml:space="preserve">                                年   月   日</w:t>
      </w:r>
    </w:p>
    <w:p>
      <w:pPr>
        <w:keepNext w:val="0"/>
        <w:keepLines w:val="0"/>
        <w:pageBreakBefore w:val="0"/>
        <w:kinsoku/>
        <w:wordWrap/>
        <w:overflowPunct/>
        <w:topLinePunct w:val="0"/>
        <w:autoSpaceDE/>
        <w:autoSpaceDN/>
        <w:bidi w:val="0"/>
        <w:adjustRightInd/>
        <w:snapToGrid w:val="0"/>
        <w:spacing w:line="600" w:lineRule="exact"/>
        <w:ind w:left="0" w:leftChars="0" w:right="0" w:rightChars="0"/>
        <w:textAlignment w:val="auto"/>
        <w:outlineLvl w:val="9"/>
        <w:rPr>
          <w:rFonts w:hint="default" w:ascii="Times New Roman" w:hAnsi="Times New Roman" w:eastAsia="方正仿宋_GBK" w:cs="Times New Roman"/>
          <w:sz w:val="32"/>
          <w:szCs w:val="32"/>
          <w:shd w:val="clear" w:color="auto" w:fill="FFFFFF"/>
        </w:rPr>
      </w:pPr>
    </w:p>
    <w:p>
      <w:pPr>
        <w:spacing w:line="20" w:lineRule="exact"/>
      </w:pPr>
    </w:p>
    <w:p>
      <w:pPr>
        <w:tabs>
          <w:tab w:val="left" w:pos="1032"/>
        </w:tabs>
        <w:spacing w:line="800" w:lineRule="exact"/>
        <w:rPr>
          <w:rFonts w:hint="eastAsia"/>
          <w:lang w:val="en-US" w:eastAsia="zh-CN"/>
        </w:rPr>
      </w:pPr>
      <w:bookmarkStart w:id="0" w:name="_GoBack"/>
      <w:bookmarkEnd w:id="0"/>
    </w:p>
    <w:sectPr>
      <w:footerReference r:id="rId7" w:type="default"/>
      <w:pgSz w:w="10772" w:h="16838"/>
      <w:pgMar w:top="1417" w:right="907" w:bottom="1417" w:left="907"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Georgia">
    <w:panose1 w:val="02040502050405090303"/>
    <w:charset w:val="00"/>
    <w:family w:val="auto"/>
    <w:pitch w:val="default"/>
    <w:sig w:usb0="00000287" w:usb1="00000000" w:usb2="00000000" w:usb3="00000000" w:csb0="2000009F" w:csb1="00000000"/>
  </w:font>
  <w:font w:name="PMingLiU">
    <w:panose1 w:val="02020500000000000000"/>
    <w:charset w:val="88"/>
    <w:family w:val="auto"/>
    <w:pitch w:val="default"/>
    <w:sig w:usb0="A00002FF" w:usb1="28CFFCFA" w:usb2="00000016" w:usb3="00000000" w:csb0="00100001"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ascii="宋体" w:hAnsi="宋体" w:eastAsia="宋体" w:cs="宋体"/>
                              <w:sz w:val="28"/>
                              <w:szCs w:val="28"/>
                            </w:rPr>
                          </w:pP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15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rPr>
                        <w:rFonts w:hint="eastAsia" w:ascii="宋体" w:hAnsi="宋体" w:eastAsia="宋体" w:cs="宋体"/>
                        <w:sz w:val="28"/>
                        <w:szCs w:val="28"/>
                      </w:rPr>
                    </w:pPr>
                    <w:r>
                      <w:rPr>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1"/>
                        <w:rFonts w:hint="eastAsia" w:ascii="宋体" w:hAnsi="宋体" w:eastAsia="宋体" w:cs="宋体"/>
                        <w:sz w:val="28"/>
                        <w:szCs w:val="28"/>
                      </w:rPr>
                      <w:t>15</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- 9 -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 xml:space="preserve"> </w:t>
    </w:r>
    <w: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9cls4VAgAAFw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9cls4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01D67"/>
    <w:rsid w:val="128261A1"/>
    <w:rsid w:val="220C40EC"/>
    <w:rsid w:val="275F544F"/>
    <w:rsid w:val="28876395"/>
    <w:rsid w:val="371766CA"/>
    <w:rsid w:val="56137D7B"/>
    <w:rsid w:val="7A0B7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uiPriority w:val="0"/>
  </w:style>
  <w:style w:type="character" w:styleId="12">
    <w:name w:val="FollowedHyperlink"/>
    <w:basedOn w:val="9"/>
    <w:qFormat/>
    <w:uiPriority w:val="0"/>
    <w:rPr>
      <w:color w:val="296FBE"/>
      <w:u w:val="none"/>
    </w:rPr>
  </w:style>
  <w:style w:type="character" w:styleId="13">
    <w:name w:val="Emphasis"/>
    <w:basedOn w:val="9"/>
    <w:qFormat/>
    <w:uiPriority w:val="0"/>
    <w:rPr>
      <w:i/>
    </w:rPr>
  </w:style>
  <w:style w:type="character" w:styleId="14">
    <w:name w:val="HTML Definition"/>
    <w:basedOn w:val="9"/>
    <w:qFormat/>
    <w:uiPriority w:val="0"/>
  </w:style>
  <w:style w:type="character" w:styleId="15">
    <w:name w:val="HTML Variable"/>
    <w:basedOn w:val="9"/>
    <w:qFormat/>
    <w:uiPriority w:val="0"/>
  </w:style>
  <w:style w:type="character" w:styleId="16">
    <w:name w:val="Hyperlink"/>
    <w:basedOn w:val="9"/>
    <w:qFormat/>
    <w:uiPriority w:val="0"/>
    <w:rPr>
      <w:color w:val="0000FF"/>
      <w:u w:val="single"/>
    </w:rPr>
  </w:style>
  <w:style w:type="character" w:styleId="17">
    <w:name w:val="HTML Code"/>
    <w:basedOn w:val="9"/>
    <w:qFormat/>
    <w:uiPriority w:val="0"/>
    <w:rPr>
      <w:rFonts w:ascii="微软雅黑" w:hAnsi="微软雅黑" w:eastAsia="微软雅黑" w:cs="微软雅黑"/>
      <w:sz w:val="20"/>
    </w:rPr>
  </w:style>
  <w:style w:type="character" w:styleId="18">
    <w:name w:val="HTML Cite"/>
    <w:basedOn w:val="9"/>
    <w:qFormat/>
    <w:uiPriority w:val="0"/>
  </w:style>
  <w:style w:type="character" w:customStyle="1" w:styleId="20">
    <w:name w:val="drapbtn"/>
    <w:basedOn w:val="9"/>
    <w:qFormat/>
    <w:uiPriority w:val="0"/>
  </w:style>
  <w:style w:type="character" w:customStyle="1" w:styleId="21">
    <w:name w:val="token-input-delete-token"/>
    <w:basedOn w:val="9"/>
    <w:qFormat/>
    <w:uiPriority w:val="0"/>
    <w:rPr>
      <w:color w:val="FFFFFF"/>
    </w:rPr>
  </w:style>
  <w:style w:type="character" w:customStyle="1" w:styleId="22">
    <w:name w:val="design_class"/>
    <w:basedOn w:val="9"/>
    <w:qFormat/>
    <w:uiPriority w:val="0"/>
  </w:style>
  <w:style w:type="character" w:customStyle="1" w:styleId="23">
    <w:name w:val="active"/>
    <w:basedOn w:val="9"/>
    <w:qFormat/>
    <w:uiPriority w:val="0"/>
    <w:rPr>
      <w:color w:val="00FF00"/>
      <w:shd w:val="clear" w:fill="111111"/>
    </w:rPr>
  </w:style>
  <w:style w:type="character" w:customStyle="1" w:styleId="24">
    <w:name w:val="cy"/>
    <w:basedOn w:val="9"/>
    <w:qFormat/>
    <w:uiPriority w:val="0"/>
  </w:style>
  <w:style w:type="character" w:customStyle="1" w:styleId="25">
    <w:name w:val="cdropleft"/>
    <w:basedOn w:val="9"/>
    <w:qFormat/>
    <w:uiPriority w:val="0"/>
  </w:style>
  <w:style w:type="character" w:customStyle="1" w:styleId="26">
    <w:name w:val="cdropright"/>
    <w:basedOn w:val="9"/>
    <w:qFormat/>
    <w:uiPriority w:val="0"/>
  </w:style>
  <w:style w:type="character" w:customStyle="1" w:styleId="27">
    <w:name w:val="browse_class&gt;label"/>
    <w:basedOn w:val="9"/>
    <w:qFormat/>
    <w:uiPriority w:val="0"/>
    <w:rPr>
      <w:shd w:val="clear" w:fill="F8F8F8"/>
    </w:rPr>
  </w:style>
  <w:style w:type="character" w:customStyle="1" w:styleId="28">
    <w:name w:val="hilite6"/>
    <w:basedOn w:val="9"/>
    <w:qFormat/>
    <w:uiPriority w:val="0"/>
    <w:rPr>
      <w:color w:val="FFFFFF"/>
      <w:shd w:val="clear" w:fill="666677"/>
    </w:rPr>
  </w:style>
  <w:style w:type="character" w:customStyle="1" w:styleId="29">
    <w:name w:val="browse_class&gt;span"/>
    <w:basedOn w:val="9"/>
    <w:qFormat/>
    <w:uiPriority w:val="0"/>
    <w:rPr>
      <w:shd w:val="clear" w:fill="F8F8F8"/>
    </w:rPr>
  </w:style>
  <w:style w:type="character" w:customStyle="1" w:styleId="30">
    <w:name w:val="xdrichtextbox2"/>
    <w:basedOn w:val="9"/>
    <w:qFormat/>
    <w:uiPriority w:val="0"/>
  </w:style>
  <w:style w:type="character" w:customStyle="1" w:styleId="31">
    <w:name w:val="browse_class&gt;input"/>
    <w:basedOn w:val="9"/>
    <w:qFormat/>
    <w:uiPriority w:val="0"/>
    <w:rPr>
      <w:shd w:val="clear" w:fill="F8F8F8"/>
    </w:rPr>
  </w:style>
  <w:style w:type="character" w:customStyle="1" w:styleId="32">
    <w:name w:val="w32"/>
    <w:basedOn w:val="9"/>
    <w:qFormat/>
    <w:uiPriority w:val="0"/>
  </w:style>
  <w:style w:type="character" w:customStyle="1" w:styleId="33">
    <w:name w:val="biggerthanmax"/>
    <w:basedOn w:val="9"/>
    <w:qFormat/>
    <w:uiPriority w:val="0"/>
    <w:rPr>
      <w:shd w:val="clear" w:fill="FFFF00"/>
    </w:rPr>
  </w:style>
  <w:style w:type="character" w:customStyle="1" w:styleId="34">
    <w:name w:val="button"/>
    <w:basedOn w:val="9"/>
    <w:qFormat/>
    <w:uiPriority w:val="0"/>
  </w:style>
  <w:style w:type="character" w:customStyle="1" w:styleId="35">
    <w:name w:val="tmpztreemove_arrow"/>
    <w:basedOn w:val="9"/>
    <w:qFormat/>
    <w:uiPriority w:val="0"/>
  </w:style>
  <w:style w:type="character" w:customStyle="1" w:styleId="36">
    <w:name w:val="pagechatarealistclose_box"/>
    <w:basedOn w:val="9"/>
    <w:qFormat/>
    <w:uiPriority w:val="0"/>
  </w:style>
  <w:style w:type="character" w:customStyle="1" w:styleId="37">
    <w:name w:val="pagechatarealistclose_box1"/>
    <w:basedOn w:val="9"/>
    <w:qFormat/>
    <w:uiPriority w:val="0"/>
  </w:style>
  <w:style w:type="character" w:customStyle="1" w:styleId="38">
    <w:name w:val="ico1654"/>
    <w:basedOn w:val="9"/>
    <w:qFormat/>
    <w:uiPriority w:val="0"/>
  </w:style>
  <w:style w:type="character" w:customStyle="1" w:styleId="39">
    <w:name w:val="ico1655"/>
    <w:basedOn w:val="9"/>
    <w:qFormat/>
    <w:uiPriority w:val="0"/>
  </w:style>
  <w:style w:type="character" w:customStyle="1" w:styleId="40">
    <w:name w:val="edit_class"/>
    <w:basedOn w:val="9"/>
    <w:qFormat/>
    <w:uiPriority w:val="0"/>
  </w:style>
  <w:style w:type="character" w:customStyle="1" w:styleId="41">
    <w:name w:val="link-blue1"/>
    <w:basedOn w:val="9"/>
    <w:qFormat/>
    <w:uiPriority w:val="0"/>
  </w:style>
  <w:style w:type="character" w:customStyle="1" w:styleId="42">
    <w:name w:val="hilite"/>
    <w:basedOn w:val="9"/>
    <w:uiPriority w:val="0"/>
    <w:rPr>
      <w:color w:val="FFFFFF"/>
      <w:shd w:val="clear" w:fill="666677"/>
    </w:rPr>
  </w:style>
  <w:style w:type="character" w:customStyle="1" w:styleId="43">
    <w:name w:val="menu_span1"/>
    <w:basedOn w:val="9"/>
    <w:uiPriority w:val="0"/>
  </w:style>
  <w:style w:type="character" w:customStyle="1" w:styleId="44">
    <w:name w:val="right1"/>
    <w:basedOn w:val="9"/>
    <w:uiPriority w:val="0"/>
  </w:style>
  <w:style w:type="character" w:customStyle="1" w:styleId="45">
    <w:name w:val="radio_com1"/>
    <w:basedOn w:val="9"/>
    <w:uiPriority w:val="0"/>
  </w:style>
  <w:style w:type="character" w:customStyle="1" w:styleId="46">
    <w:name w:val="padding_l_251"/>
    <w:basedOn w:val="9"/>
    <w:uiPriority w:val="0"/>
  </w:style>
  <w:style w:type="character" w:customStyle="1" w:styleId="47">
    <w:name w:val="color_gray23"/>
    <w:basedOn w:val="9"/>
    <w:uiPriority w:val="0"/>
    <w:rPr>
      <w:color w:val="FFFFFF"/>
    </w:rPr>
  </w:style>
  <w:style w:type="character" w:customStyle="1" w:styleId="48">
    <w:name w:val="valign_m1"/>
    <w:basedOn w:val="9"/>
    <w:uiPriority w:val="0"/>
  </w:style>
  <w:style w:type="paragraph" w:customStyle="1" w:styleId="49">
    <w:name w:val="_Style 48"/>
    <w:basedOn w:val="1"/>
    <w:next w:val="1"/>
    <w:uiPriority w:val="0"/>
    <w:pPr>
      <w:pBdr>
        <w:bottom w:val="single" w:color="auto" w:sz="6" w:space="1"/>
      </w:pBdr>
      <w:jc w:val="center"/>
    </w:pPr>
    <w:rPr>
      <w:rFonts w:ascii="Arial" w:eastAsia="宋体"/>
      <w:vanish/>
      <w:sz w:val="16"/>
    </w:rPr>
  </w:style>
  <w:style w:type="paragraph" w:customStyle="1" w:styleId="50">
    <w:name w:val="_Style 49"/>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康秀</cp:lastModifiedBy>
  <cp:lastPrinted>2018-06-22T07:40:00Z</cp:lastPrinted>
  <dcterms:modified xsi:type="dcterms:W3CDTF">2018-06-26T05:58:36Z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