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lang w:val="en-US" w:eastAsia="zh-CN"/>
        </w:rPr>
      </w:pPr>
      <w:r>
        <w:rPr>
          <w:rFonts w:hint="eastAsia" w:ascii="方正小标宋简体" w:hAnsi="方正小标宋简体" w:eastAsia="方正小标宋简体" w:cs="方正小标宋简体"/>
          <w:sz w:val="44"/>
          <w:szCs w:val="44"/>
          <w:lang w:val="en-US" w:eastAsia="zh-CN"/>
        </w:rPr>
        <w:t>财政拨款收支决算总表（2015年）</w:t>
      </w:r>
    </w:p>
    <w:tbl>
      <w:tblPr>
        <w:tblStyle w:val="3"/>
        <w:tblW w:w="165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41"/>
        <w:gridCol w:w="1024"/>
        <w:gridCol w:w="88"/>
        <w:gridCol w:w="1024"/>
        <w:gridCol w:w="3041"/>
        <w:gridCol w:w="1024"/>
        <w:gridCol w:w="1154"/>
        <w:gridCol w:w="1154"/>
        <w:gridCol w:w="1751"/>
        <w:gridCol w:w="3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gridAfter w:val="1"/>
          <w:wAfter w:w="3284" w:type="dxa"/>
          <w:trHeight w:val="519" w:hRule="atLeast"/>
        </w:trPr>
        <w:tc>
          <w:tcPr>
            <w:tcW w:w="4065" w:type="dxa"/>
            <w:gridSpan w:val="2"/>
            <w:shd w:val="clear" w:color="auto" w:fill="auto"/>
            <w:vAlign w:val="bottom"/>
          </w:tcPr>
          <w:p>
            <w:pPr>
              <w:rPr>
                <w:rFonts w:hint="eastAsia" w:ascii="Arial" w:hAnsi="Arial" w:eastAsia="宋体"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部门：绵阳市国有资产监督管理委员会</w:t>
            </w:r>
          </w:p>
        </w:tc>
        <w:tc>
          <w:tcPr>
            <w:tcW w:w="1112" w:type="dxa"/>
            <w:gridSpan w:val="2"/>
            <w:shd w:val="clear" w:color="auto" w:fill="auto"/>
            <w:vAlign w:val="bottom"/>
          </w:tcPr>
          <w:p>
            <w:pPr>
              <w:rPr>
                <w:rFonts w:hint="default" w:ascii="Arial" w:hAnsi="Arial" w:eastAsia="宋体" w:cs="Arial"/>
                <w:i w:val="0"/>
                <w:color w:val="000000"/>
                <w:sz w:val="20"/>
                <w:szCs w:val="20"/>
                <w:u w:val="none"/>
              </w:rPr>
            </w:pPr>
          </w:p>
        </w:tc>
        <w:tc>
          <w:tcPr>
            <w:tcW w:w="3041" w:type="dxa"/>
            <w:shd w:val="clear" w:color="auto" w:fill="auto"/>
            <w:vAlign w:val="bottom"/>
          </w:tcPr>
          <w:p>
            <w:pPr>
              <w:rPr>
                <w:rFonts w:hint="default" w:ascii="Arial" w:hAnsi="Arial" w:eastAsia="宋体" w:cs="Arial"/>
                <w:i w:val="0"/>
                <w:color w:val="000000"/>
                <w:sz w:val="20"/>
                <w:szCs w:val="20"/>
                <w:u w:val="none"/>
              </w:rPr>
            </w:pPr>
          </w:p>
        </w:tc>
        <w:tc>
          <w:tcPr>
            <w:tcW w:w="1024" w:type="dxa"/>
            <w:shd w:val="clear" w:color="auto" w:fill="auto"/>
            <w:vAlign w:val="bottom"/>
          </w:tcPr>
          <w:p>
            <w:pPr>
              <w:rPr>
                <w:rFonts w:hint="default" w:ascii="Arial" w:hAnsi="Arial" w:eastAsia="宋体" w:cs="Arial"/>
                <w:i w:val="0"/>
                <w:color w:val="000000"/>
                <w:sz w:val="20"/>
                <w:szCs w:val="20"/>
                <w:u w:val="none"/>
              </w:rPr>
            </w:pPr>
          </w:p>
        </w:tc>
        <w:tc>
          <w:tcPr>
            <w:tcW w:w="1154" w:type="dxa"/>
            <w:shd w:val="clear" w:color="auto" w:fill="auto"/>
            <w:vAlign w:val="bottom"/>
          </w:tcPr>
          <w:p>
            <w:pPr>
              <w:rPr>
                <w:rFonts w:hint="default" w:ascii="Arial" w:hAnsi="Arial" w:eastAsia="宋体" w:cs="Arial"/>
                <w:i w:val="0"/>
                <w:color w:val="000000"/>
                <w:sz w:val="20"/>
                <w:szCs w:val="20"/>
                <w:u w:val="none"/>
              </w:rPr>
            </w:pPr>
          </w:p>
        </w:tc>
        <w:tc>
          <w:tcPr>
            <w:tcW w:w="1154" w:type="dxa"/>
            <w:shd w:val="clear" w:color="auto" w:fill="auto"/>
            <w:vAlign w:val="bottom"/>
          </w:tcPr>
          <w:p>
            <w:pPr>
              <w:rPr>
                <w:rFonts w:hint="default" w:ascii="Arial" w:hAnsi="Arial" w:eastAsia="宋体" w:cs="Arial"/>
                <w:i w:val="0"/>
                <w:color w:val="000000"/>
                <w:sz w:val="20"/>
                <w:szCs w:val="20"/>
                <w:u w:val="none"/>
              </w:rPr>
            </w:pPr>
          </w:p>
        </w:tc>
        <w:tc>
          <w:tcPr>
            <w:tcW w:w="1751"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5177" w:type="dxa"/>
            <w:gridSpan w:val="4"/>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124" w:type="dxa"/>
            <w:gridSpan w:val="5"/>
            <w:tcBorders>
              <w:top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28" w:hRule="atLeast"/>
        </w:trPr>
        <w:tc>
          <w:tcPr>
            <w:tcW w:w="3041" w:type="dxa"/>
            <w:vMerge w:val="restart"/>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2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12"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04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02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15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54"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751"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28" w:hRule="atLeast"/>
        </w:trPr>
        <w:tc>
          <w:tcPr>
            <w:tcW w:w="3041" w:type="dxa"/>
            <w:vMerge w:val="continue"/>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gridSpan w:val="2"/>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4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2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4"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51"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24"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024" w:type="dxa"/>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5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675.69</w:t>
            </w: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45.42</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45.42</w:t>
            </w: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7.97</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7.97</w:t>
            </w: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654.27</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654.27</w:t>
            </w: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w:t>
            </w:r>
            <w:bookmarkStart w:id="0" w:name="_GoBack"/>
            <w:r>
              <w:rPr>
                <w:rFonts w:hint="eastAsia" w:ascii="宋体" w:hAnsi="宋体" w:eastAsia="宋体" w:cs="宋体"/>
                <w:i w:val="0"/>
                <w:color w:val="000000"/>
                <w:kern w:val="0"/>
                <w:sz w:val="22"/>
                <w:szCs w:val="22"/>
                <w:u w:val="none"/>
                <w:lang w:val="en-US" w:eastAsia="zh-CN" w:bidi="ar"/>
              </w:rPr>
              <w:t>八、国土海洋气象等支出</w:t>
            </w:r>
            <w:bookmarkEnd w:id="0"/>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30.16</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30.16</w:t>
            </w: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675.69</w:t>
            </w: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737.82</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737.82</w:t>
            </w:r>
          </w:p>
        </w:tc>
        <w:tc>
          <w:tcPr>
            <w:tcW w:w="175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73.02</w:t>
            </w: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w:t>
            </w: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2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041" w:type="dxa"/>
            <w:tcBorders>
              <w:top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54"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51" w:type="dxa"/>
            <w:tcBorders>
              <w:top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3284" w:type="dxa"/>
          <w:trHeight w:val="285" w:hRule="atLeast"/>
        </w:trPr>
        <w:tc>
          <w:tcPr>
            <w:tcW w:w="3041"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112"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748.71</w:t>
            </w:r>
          </w:p>
        </w:tc>
        <w:tc>
          <w:tcPr>
            <w:tcW w:w="304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102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748.71</w:t>
            </w:r>
          </w:p>
        </w:tc>
        <w:tc>
          <w:tcPr>
            <w:tcW w:w="1154"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748.71</w:t>
            </w:r>
          </w:p>
        </w:tc>
        <w:tc>
          <w:tcPr>
            <w:tcW w:w="1751" w:type="dxa"/>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85" w:type="dxa"/>
            <w:gridSpan w:val="10"/>
            <w:tcBorders>
              <w:lef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注：1.本表反映部门本年度一般公共预算财政拨款和政府性基金预算财政拨款的总收支和年末结转结余情况。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5" w:hRule="atLeast"/>
        </w:trPr>
        <w:tc>
          <w:tcPr>
            <w:tcW w:w="16585" w:type="dxa"/>
            <w:gridSpan w:val="10"/>
            <w:tcBorders>
              <w:lef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2.本表以“万元”为金额单位（保留两位小数）。</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61E91"/>
    <w:rsid w:val="0AAB1034"/>
    <w:rsid w:val="2E161E9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2017-12-08T06:19:00Z</dcterms:created>
  <dc:creator>师语</dc:creator>
  <cp:lastModifiedBy>师语</cp:lastModifiedBy>
  <dcterms:modified xsi:type="dcterms:W3CDTF">2017-12-08T06:22:50Z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