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E7" w:rsidRDefault="00841AE7" w:rsidP="00841AE7">
      <w:pPr>
        <w:jc w:val="center"/>
        <w:rPr>
          <w:rFonts w:asciiTheme="majorEastAsia" w:eastAsiaTheme="majorEastAsia" w:hAnsiTheme="majorEastAsia" w:cs="方正小标宋简体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sz w:val="44"/>
          <w:szCs w:val="44"/>
        </w:rPr>
        <w:t>关于</w:t>
      </w:r>
      <w:r w:rsidRPr="00E16ECD">
        <w:rPr>
          <w:rFonts w:asciiTheme="majorEastAsia" w:eastAsiaTheme="majorEastAsia" w:hAnsiTheme="majorEastAsia" w:cs="方正小标宋简体"/>
          <w:sz w:val="44"/>
          <w:szCs w:val="44"/>
        </w:rPr>
        <w:t>2015</w:t>
      </w:r>
      <w:r w:rsidRPr="00E16ECD">
        <w:rPr>
          <w:rFonts w:asciiTheme="majorEastAsia" w:eastAsiaTheme="majorEastAsia" w:hAnsiTheme="majorEastAsia" w:cs="方正小标宋简体" w:hint="eastAsia"/>
          <w:sz w:val="44"/>
          <w:szCs w:val="44"/>
        </w:rPr>
        <w:t>年绵阳市涪江流域水环境生态补偿专项资金第一批</w:t>
      </w:r>
      <w:r>
        <w:rPr>
          <w:rFonts w:asciiTheme="majorEastAsia" w:eastAsiaTheme="majorEastAsia" w:hAnsiTheme="majorEastAsia" w:cs="方正小标宋简体" w:hint="eastAsia"/>
          <w:sz w:val="44"/>
          <w:szCs w:val="44"/>
        </w:rPr>
        <w:t>拟入库</w:t>
      </w:r>
      <w:r w:rsidRPr="00E16ECD">
        <w:rPr>
          <w:rFonts w:asciiTheme="majorEastAsia" w:eastAsiaTheme="majorEastAsia" w:hAnsiTheme="majorEastAsia" w:cs="方正小标宋简体" w:hint="eastAsia"/>
          <w:sz w:val="44"/>
          <w:szCs w:val="44"/>
        </w:rPr>
        <w:t>项目</w:t>
      </w:r>
      <w:r>
        <w:rPr>
          <w:rFonts w:asciiTheme="majorEastAsia" w:eastAsiaTheme="majorEastAsia" w:hAnsiTheme="majorEastAsia" w:cs="方正小标宋简体" w:hint="eastAsia"/>
          <w:sz w:val="44"/>
          <w:szCs w:val="44"/>
        </w:rPr>
        <w:t>公示</w:t>
      </w:r>
    </w:p>
    <w:p w:rsidR="001F47F5" w:rsidRDefault="001F47F5" w:rsidP="001F47F5">
      <w:pPr>
        <w:pStyle w:val="a5"/>
        <w:shd w:val="clear" w:color="auto" w:fill="FFFFFF"/>
        <w:spacing w:before="0" w:beforeAutospacing="0" w:after="0" w:afterAutospacing="0" w:line="560" w:lineRule="atLeast"/>
        <w:rPr>
          <w:rFonts w:asciiTheme="majorEastAsia" w:eastAsiaTheme="majorEastAsia" w:hAnsiTheme="majorEastAsia" w:cs="方正小标宋简体"/>
          <w:kern w:val="2"/>
          <w:sz w:val="44"/>
          <w:szCs w:val="44"/>
        </w:rPr>
      </w:pPr>
    </w:p>
    <w:p w:rsidR="00841AE7" w:rsidRPr="00841AE7" w:rsidRDefault="001F47F5" w:rsidP="001F47F5">
      <w:pPr>
        <w:pStyle w:val="a5"/>
        <w:shd w:val="clear" w:color="auto" w:fill="FFFFFF"/>
        <w:spacing w:before="0" w:beforeAutospacing="0" w:after="0" w:afterAutospacing="0" w:line="560" w:lineRule="atLeast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方正小标宋简体" w:hint="eastAsia"/>
          <w:kern w:val="2"/>
          <w:sz w:val="44"/>
          <w:szCs w:val="44"/>
        </w:rPr>
        <w:t xml:space="preserve">    </w:t>
      </w:r>
      <w:r w:rsidR="00841AE7" w:rsidRPr="00841AE7">
        <w:rPr>
          <w:rFonts w:ascii="仿宋_GB2312" w:eastAsia="仿宋_GB2312" w:hint="eastAsia"/>
          <w:sz w:val="32"/>
          <w:szCs w:val="32"/>
        </w:rPr>
        <w:t>根据绵阳市环境保护局、绵阳市财政局《</w:t>
      </w:r>
      <w:r w:rsidR="00841AE7" w:rsidRPr="00841AE7">
        <w:rPr>
          <w:rFonts w:ascii="仿宋_GB2312" w:eastAsia="仿宋_GB2312" w:hint="eastAsia"/>
          <w:bCs/>
          <w:sz w:val="32"/>
          <w:szCs w:val="32"/>
        </w:rPr>
        <w:t>关于</w:t>
      </w:r>
      <w:r w:rsidR="00841AE7" w:rsidRPr="00841AE7">
        <w:rPr>
          <w:rFonts w:ascii="仿宋_GB2312" w:eastAsia="仿宋_GB2312" w:cs="方正小标宋简体" w:hint="eastAsia"/>
          <w:sz w:val="32"/>
          <w:szCs w:val="32"/>
        </w:rPr>
        <w:t>印发2015年绵阳市涪江流域</w:t>
      </w:r>
      <w:r w:rsidR="00841AE7" w:rsidRPr="00841AE7">
        <w:rPr>
          <w:rFonts w:ascii="仿宋_GB2312" w:eastAsia="仿宋_GB2312" w:hint="eastAsia"/>
          <w:sz w:val="32"/>
          <w:szCs w:val="32"/>
        </w:rPr>
        <w:t>水环境生态补偿专项资金项目申报指南的通知》</w:t>
      </w:r>
      <w:r w:rsidR="00841AE7">
        <w:rPr>
          <w:rFonts w:ascii="仿宋_GB2312" w:eastAsia="仿宋_GB2312" w:hint="eastAsia"/>
          <w:sz w:val="32"/>
          <w:szCs w:val="32"/>
        </w:rPr>
        <w:t>（</w:t>
      </w:r>
      <w:r w:rsidR="00841AE7" w:rsidRPr="00841AE7">
        <w:rPr>
          <w:rFonts w:ascii="仿宋_GB2312" w:eastAsia="仿宋_GB2312" w:hint="eastAsia"/>
          <w:sz w:val="32"/>
          <w:szCs w:val="32"/>
        </w:rPr>
        <w:t>绵环发〔2015〕170号</w:t>
      </w:r>
      <w:r w:rsidR="00841AE7">
        <w:rPr>
          <w:rFonts w:ascii="仿宋_GB2312" w:eastAsia="仿宋_GB2312" w:hint="eastAsia"/>
          <w:sz w:val="32"/>
          <w:szCs w:val="32"/>
        </w:rPr>
        <w:t>），市环保局、市财政局组织专家对各</w:t>
      </w:r>
      <w:r w:rsidR="00841AE7" w:rsidRPr="00841AE7">
        <w:rPr>
          <w:rFonts w:ascii="仿宋_GB2312" w:eastAsia="仿宋_GB2312" w:hint="eastAsia"/>
          <w:sz w:val="32"/>
          <w:szCs w:val="32"/>
        </w:rPr>
        <w:t>地</w:t>
      </w:r>
      <w:r w:rsidR="00841AE7" w:rsidRPr="00841AE7">
        <w:rPr>
          <w:rFonts w:ascii="仿宋_GB2312" w:eastAsia="仿宋_GB2312"/>
          <w:sz w:val="32"/>
          <w:szCs w:val="32"/>
        </w:rPr>
        <w:t>2015</w:t>
      </w:r>
      <w:r w:rsidR="00841AE7" w:rsidRPr="00841AE7">
        <w:rPr>
          <w:rFonts w:ascii="仿宋_GB2312" w:eastAsia="仿宋_GB2312" w:hint="eastAsia"/>
          <w:sz w:val="32"/>
          <w:szCs w:val="32"/>
        </w:rPr>
        <w:t>年绵阳市涪江流域水环境生态补偿专项资金第一批申报项目</w:t>
      </w:r>
      <w:r w:rsidR="00841AE7">
        <w:rPr>
          <w:rFonts w:ascii="仿宋_GB2312" w:eastAsia="仿宋_GB2312" w:hint="eastAsia"/>
          <w:sz w:val="32"/>
          <w:szCs w:val="32"/>
        </w:rPr>
        <w:t>进行了入库审查。</w:t>
      </w:r>
      <w:r w:rsidR="00841AE7" w:rsidRPr="00841AE7">
        <w:rPr>
          <w:rFonts w:ascii="仿宋_GB2312" w:eastAsia="仿宋_GB2312" w:hint="eastAsia"/>
          <w:sz w:val="32"/>
          <w:szCs w:val="32"/>
        </w:rPr>
        <w:t>经研究，拟将通过审查的“三台县西平镇污水处理工程”等</w:t>
      </w:r>
      <w:r w:rsidR="00841AE7">
        <w:rPr>
          <w:rFonts w:ascii="仿宋_GB2312" w:eastAsia="仿宋_GB2312" w:hint="eastAsia"/>
          <w:sz w:val="32"/>
          <w:szCs w:val="32"/>
        </w:rPr>
        <w:t>10</w:t>
      </w:r>
      <w:r w:rsidR="00841AE7" w:rsidRPr="00841AE7">
        <w:rPr>
          <w:rFonts w:ascii="仿宋_GB2312" w:eastAsia="仿宋_GB2312" w:hint="eastAsia"/>
          <w:sz w:val="32"/>
          <w:szCs w:val="32"/>
        </w:rPr>
        <w:t>个</w:t>
      </w:r>
      <w:r w:rsidR="00076E38">
        <w:rPr>
          <w:rFonts w:ascii="仿宋_GB2312" w:eastAsia="仿宋_GB2312" w:hint="eastAsia"/>
          <w:sz w:val="32"/>
          <w:szCs w:val="32"/>
        </w:rPr>
        <w:t>项目纳入</w:t>
      </w:r>
      <w:r w:rsidR="00076E38" w:rsidRPr="00076E38">
        <w:rPr>
          <w:rFonts w:ascii="仿宋_GB2312" w:eastAsia="仿宋_GB2312" w:hint="eastAsia"/>
          <w:sz w:val="32"/>
          <w:szCs w:val="32"/>
        </w:rPr>
        <w:t>绵阳市涪江流域水环境生态补偿专项资金</w:t>
      </w:r>
      <w:r w:rsidR="00841AE7" w:rsidRPr="00841AE7">
        <w:rPr>
          <w:rFonts w:ascii="仿宋_GB2312" w:eastAsia="仿宋_GB2312" w:hint="eastAsia"/>
          <w:sz w:val="32"/>
          <w:szCs w:val="32"/>
        </w:rPr>
        <w:t>动态项目库，现予以公示。公示时间自2015年1</w:t>
      </w:r>
      <w:r w:rsidR="00076E38">
        <w:rPr>
          <w:rFonts w:ascii="仿宋_GB2312" w:eastAsia="仿宋_GB2312" w:hint="eastAsia"/>
          <w:sz w:val="32"/>
          <w:szCs w:val="32"/>
        </w:rPr>
        <w:t>1</w:t>
      </w:r>
      <w:r w:rsidR="00841AE7" w:rsidRPr="00841AE7">
        <w:rPr>
          <w:rFonts w:ascii="仿宋_GB2312" w:eastAsia="仿宋_GB2312" w:hint="eastAsia"/>
          <w:sz w:val="32"/>
          <w:szCs w:val="32"/>
        </w:rPr>
        <w:t>月</w:t>
      </w:r>
      <w:r w:rsidR="005809F6">
        <w:rPr>
          <w:rFonts w:ascii="仿宋_GB2312" w:eastAsia="仿宋_GB2312"/>
          <w:sz w:val="32"/>
          <w:szCs w:val="32"/>
        </w:rPr>
        <w:t>20</w:t>
      </w:r>
      <w:r w:rsidR="00841AE7" w:rsidRPr="00841AE7">
        <w:rPr>
          <w:rFonts w:ascii="仿宋_GB2312" w:eastAsia="仿宋_GB2312" w:hint="eastAsia"/>
          <w:sz w:val="32"/>
          <w:szCs w:val="32"/>
        </w:rPr>
        <w:t>日至2015年</w:t>
      </w:r>
      <w:r w:rsidR="00076E38">
        <w:rPr>
          <w:rFonts w:ascii="仿宋_GB2312" w:eastAsia="仿宋_GB2312" w:hint="eastAsia"/>
          <w:sz w:val="32"/>
          <w:szCs w:val="32"/>
        </w:rPr>
        <w:t>11</w:t>
      </w:r>
      <w:r w:rsidR="00841AE7" w:rsidRPr="00841AE7">
        <w:rPr>
          <w:rFonts w:ascii="仿宋_GB2312" w:eastAsia="仿宋_GB2312" w:hint="eastAsia"/>
          <w:sz w:val="32"/>
          <w:szCs w:val="32"/>
        </w:rPr>
        <w:t>月</w:t>
      </w:r>
      <w:r w:rsidR="005809F6">
        <w:rPr>
          <w:rFonts w:ascii="仿宋_GB2312" w:eastAsia="仿宋_GB2312"/>
          <w:sz w:val="32"/>
          <w:szCs w:val="32"/>
        </w:rPr>
        <w:t>27</w:t>
      </w:r>
      <w:bookmarkStart w:id="0" w:name="_GoBack"/>
      <w:bookmarkEnd w:id="0"/>
      <w:r w:rsidR="00841AE7" w:rsidRPr="00841AE7">
        <w:rPr>
          <w:rFonts w:ascii="仿宋_GB2312" w:eastAsia="仿宋_GB2312" w:hint="eastAsia"/>
          <w:sz w:val="32"/>
          <w:szCs w:val="32"/>
        </w:rPr>
        <w:t>日。社会各界如有意见，请向</w:t>
      </w:r>
      <w:r w:rsidR="00076E38">
        <w:rPr>
          <w:rFonts w:ascii="仿宋_GB2312" w:eastAsia="仿宋_GB2312" w:hint="eastAsia"/>
          <w:sz w:val="32"/>
          <w:szCs w:val="32"/>
        </w:rPr>
        <w:t>绵阳市</w:t>
      </w:r>
      <w:r w:rsidR="00841AE7" w:rsidRPr="00841AE7">
        <w:rPr>
          <w:rFonts w:ascii="仿宋_GB2312" w:eastAsia="仿宋_GB2312" w:hint="eastAsia"/>
          <w:sz w:val="32"/>
          <w:szCs w:val="32"/>
        </w:rPr>
        <w:t>环境保护</w:t>
      </w:r>
      <w:r w:rsidR="00076E38">
        <w:rPr>
          <w:rFonts w:ascii="仿宋_GB2312" w:eastAsia="仿宋_GB2312" w:hint="eastAsia"/>
          <w:sz w:val="32"/>
          <w:szCs w:val="32"/>
        </w:rPr>
        <w:t>局规划监测科和</w:t>
      </w:r>
      <w:r w:rsidR="00841AE7" w:rsidRPr="00841AE7">
        <w:rPr>
          <w:rFonts w:ascii="仿宋_GB2312" w:eastAsia="仿宋_GB2312" w:hint="eastAsia"/>
          <w:sz w:val="32"/>
          <w:szCs w:val="32"/>
        </w:rPr>
        <w:t>纪检监察室反映。</w:t>
      </w:r>
    </w:p>
    <w:p w:rsidR="00841AE7" w:rsidRPr="00841AE7" w:rsidRDefault="00841AE7" w:rsidP="00841AE7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rFonts w:ascii="仿宋_GB2312" w:eastAsia="仿宋_GB2312"/>
          <w:sz w:val="32"/>
          <w:szCs w:val="32"/>
        </w:rPr>
      </w:pPr>
      <w:r w:rsidRPr="00841AE7">
        <w:rPr>
          <w:rFonts w:ascii="仿宋_GB2312" w:eastAsia="仿宋_GB2312" w:hint="eastAsia"/>
          <w:sz w:val="32"/>
          <w:szCs w:val="32"/>
        </w:rPr>
        <w:t>联 系 人：</w:t>
      </w:r>
      <w:r w:rsidR="00076E38">
        <w:rPr>
          <w:rFonts w:ascii="仿宋_GB2312" w:eastAsia="仿宋_GB2312" w:hint="eastAsia"/>
          <w:sz w:val="32"/>
          <w:szCs w:val="32"/>
        </w:rPr>
        <w:t>规划监测科</w:t>
      </w:r>
      <w:r w:rsidR="00C770A5">
        <w:rPr>
          <w:rFonts w:ascii="仿宋_GB2312" w:eastAsia="仿宋_GB2312"/>
          <w:sz w:val="32"/>
          <w:szCs w:val="32"/>
        </w:rPr>
        <w:t xml:space="preserve">                </w:t>
      </w:r>
      <w:r w:rsidR="00076E38">
        <w:rPr>
          <w:rFonts w:ascii="仿宋_GB2312" w:eastAsia="仿宋_GB2312" w:hint="eastAsia"/>
          <w:sz w:val="32"/>
          <w:szCs w:val="32"/>
        </w:rPr>
        <w:t>冯谷东</w:t>
      </w:r>
    </w:p>
    <w:p w:rsidR="00841AE7" w:rsidRPr="00841AE7" w:rsidRDefault="00841AE7" w:rsidP="00076E38">
      <w:pPr>
        <w:pStyle w:val="a5"/>
        <w:shd w:val="clear" w:color="auto" w:fill="FFFFFF"/>
        <w:spacing w:before="0" w:beforeAutospacing="0" w:after="0" w:afterAutospacing="0" w:line="560" w:lineRule="atLeast"/>
        <w:ind w:firstLineChars="685" w:firstLine="2192"/>
        <w:rPr>
          <w:rFonts w:ascii="仿宋_GB2312" w:eastAsia="仿宋_GB2312"/>
          <w:sz w:val="32"/>
          <w:szCs w:val="32"/>
        </w:rPr>
      </w:pPr>
      <w:r w:rsidRPr="00841AE7">
        <w:rPr>
          <w:rFonts w:ascii="仿宋_GB2312" w:eastAsia="仿宋_GB2312" w:hint="eastAsia"/>
          <w:sz w:val="32"/>
          <w:szCs w:val="32"/>
        </w:rPr>
        <w:t>纪检监察室</w:t>
      </w:r>
      <w:r w:rsidR="00C770A5">
        <w:rPr>
          <w:rFonts w:ascii="仿宋_GB2312" w:eastAsia="仿宋_GB2312"/>
          <w:sz w:val="32"/>
          <w:szCs w:val="32"/>
        </w:rPr>
        <w:t xml:space="preserve">                </w:t>
      </w:r>
      <w:r w:rsidR="00455512">
        <w:rPr>
          <w:rFonts w:ascii="仿宋_GB2312" w:eastAsia="仿宋_GB2312" w:hint="eastAsia"/>
          <w:sz w:val="32"/>
          <w:szCs w:val="32"/>
        </w:rPr>
        <w:t>肖剑</w:t>
      </w:r>
      <w:r w:rsidR="00076E38">
        <w:rPr>
          <w:rFonts w:ascii="仿宋_GB2312" w:eastAsia="仿宋_GB2312" w:hint="eastAsia"/>
          <w:sz w:val="32"/>
          <w:szCs w:val="32"/>
        </w:rPr>
        <w:t>英</w:t>
      </w:r>
    </w:p>
    <w:p w:rsidR="00841AE7" w:rsidRPr="00841AE7" w:rsidRDefault="00841AE7" w:rsidP="00C770A5">
      <w:pPr>
        <w:pStyle w:val="a5"/>
        <w:shd w:val="clear" w:color="auto" w:fill="FFFFFF"/>
        <w:spacing w:before="0" w:beforeAutospacing="0" w:after="0" w:afterAutospacing="0" w:line="560" w:lineRule="atLeast"/>
        <w:ind w:firstLineChars="400" w:firstLine="1280"/>
        <w:rPr>
          <w:rFonts w:ascii="仿宋_GB2312" w:eastAsia="仿宋_GB2312"/>
          <w:sz w:val="32"/>
          <w:szCs w:val="32"/>
        </w:rPr>
      </w:pPr>
      <w:r w:rsidRPr="00841AE7">
        <w:rPr>
          <w:rFonts w:ascii="仿宋_GB2312" w:eastAsia="仿宋_GB2312" w:hint="eastAsia"/>
          <w:sz w:val="32"/>
          <w:szCs w:val="32"/>
        </w:rPr>
        <w:t>联系电话：</w:t>
      </w:r>
      <w:r w:rsidR="00076E38">
        <w:rPr>
          <w:rFonts w:ascii="仿宋_GB2312" w:eastAsia="仿宋_GB2312" w:hint="eastAsia"/>
          <w:sz w:val="32"/>
          <w:szCs w:val="32"/>
        </w:rPr>
        <w:t>2231334</w:t>
      </w:r>
      <w:r w:rsidR="00C770A5">
        <w:rPr>
          <w:rFonts w:ascii="仿宋_GB2312" w:eastAsia="仿宋_GB2312"/>
          <w:sz w:val="32"/>
          <w:szCs w:val="32"/>
        </w:rPr>
        <w:t xml:space="preserve">     </w:t>
      </w:r>
      <w:r w:rsidR="00076E38">
        <w:rPr>
          <w:rFonts w:ascii="仿宋_GB2312" w:eastAsia="仿宋_GB2312" w:hint="eastAsia"/>
          <w:sz w:val="32"/>
          <w:szCs w:val="32"/>
        </w:rPr>
        <w:t>222</w:t>
      </w:r>
      <w:r w:rsidR="00C770A5">
        <w:rPr>
          <w:rFonts w:ascii="仿宋_GB2312" w:eastAsia="仿宋_GB2312"/>
          <w:sz w:val="32"/>
          <w:szCs w:val="32"/>
        </w:rPr>
        <w:t>8905</w:t>
      </w:r>
    </w:p>
    <w:p w:rsidR="00841AE7" w:rsidRPr="00841AE7" w:rsidRDefault="00841AE7" w:rsidP="00C770A5">
      <w:pPr>
        <w:pStyle w:val="a5"/>
        <w:shd w:val="clear" w:color="auto" w:fill="FFFFFF"/>
        <w:spacing w:before="0" w:beforeAutospacing="0" w:after="0" w:afterAutospacing="0" w:line="560" w:lineRule="atLeast"/>
        <w:ind w:firstLineChars="400" w:firstLine="1280"/>
        <w:rPr>
          <w:rFonts w:ascii="仿宋_GB2312" w:eastAsia="仿宋_GB2312"/>
          <w:sz w:val="32"/>
          <w:szCs w:val="32"/>
        </w:rPr>
      </w:pPr>
      <w:r w:rsidRPr="00841AE7">
        <w:rPr>
          <w:rFonts w:ascii="仿宋_GB2312" w:eastAsia="仿宋_GB2312" w:hint="eastAsia"/>
          <w:sz w:val="32"/>
          <w:szCs w:val="32"/>
        </w:rPr>
        <w:t>地</w:t>
      </w:r>
      <w:r w:rsidR="00C770A5">
        <w:rPr>
          <w:rFonts w:ascii="仿宋_GB2312" w:eastAsia="仿宋_GB2312"/>
          <w:sz w:val="32"/>
          <w:szCs w:val="32"/>
        </w:rPr>
        <w:t xml:space="preserve">   </w:t>
      </w:r>
      <w:r w:rsidRPr="00841AE7">
        <w:rPr>
          <w:rFonts w:ascii="仿宋_GB2312" w:eastAsia="仿宋_GB2312" w:hint="eastAsia"/>
          <w:sz w:val="32"/>
          <w:szCs w:val="32"/>
        </w:rPr>
        <w:t>址：</w:t>
      </w:r>
      <w:r w:rsidR="00076E38">
        <w:rPr>
          <w:rFonts w:ascii="仿宋_GB2312" w:eastAsia="仿宋_GB2312" w:hint="eastAsia"/>
          <w:sz w:val="32"/>
          <w:szCs w:val="32"/>
        </w:rPr>
        <w:t>绵阳市顺河前街14号</w:t>
      </w:r>
      <w:r w:rsidR="00076E38" w:rsidRPr="00841AE7">
        <w:rPr>
          <w:rFonts w:ascii="仿宋_GB2312" w:eastAsia="仿宋_GB2312" w:hint="eastAsia"/>
          <w:sz w:val="32"/>
          <w:szCs w:val="32"/>
        </w:rPr>
        <w:t xml:space="preserve"> </w:t>
      </w:r>
    </w:p>
    <w:p w:rsidR="00841AE7" w:rsidRDefault="00841AE7" w:rsidP="00841AE7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rFonts w:ascii="仿宋_GB2312" w:eastAsia="仿宋_GB2312"/>
          <w:sz w:val="32"/>
          <w:szCs w:val="32"/>
        </w:rPr>
      </w:pPr>
    </w:p>
    <w:p w:rsidR="001F47F5" w:rsidRDefault="001F47F5" w:rsidP="00841AE7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rFonts w:ascii="仿宋_GB2312" w:eastAsia="仿宋_GB2312"/>
          <w:sz w:val="32"/>
          <w:szCs w:val="32"/>
        </w:rPr>
      </w:pPr>
    </w:p>
    <w:p w:rsidR="001F47F5" w:rsidRDefault="001F47F5" w:rsidP="00841AE7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rFonts w:ascii="仿宋_GB2312" w:eastAsia="仿宋_GB2312"/>
          <w:sz w:val="32"/>
          <w:szCs w:val="32"/>
        </w:rPr>
      </w:pPr>
    </w:p>
    <w:p w:rsidR="001F47F5" w:rsidRPr="00841AE7" w:rsidRDefault="001F47F5" w:rsidP="00841AE7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rFonts w:ascii="仿宋_GB2312" w:eastAsia="仿宋_GB2312"/>
          <w:sz w:val="32"/>
          <w:szCs w:val="32"/>
        </w:rPr>
      </w:pPr>
    </w:p>
    <w:p w:rsidR="00841AE7" w:rsidRDefault="00FE6AA6" w:rsidP="00841AE7">
      <w:pPr>
        <w:pStyle w:val="a5"/>
        <w:shd w:val="clear" w:color="auto" w:fill="FFFFFF"/>
        <w:spacing w:before="0" w:beforeAutospacing="0" w:after="0" w:afterAutospacing="0" w:line="640" w:lineRule="atLeast"/>
        <w:ind w:left="1530" w:hanging="900"/>
        <w:rPr>
          <w:color w:val="5A5A5A"/>
        </w:rPr>
      </w:pPr>
      <w:r w:rsidRPr="00E16ECD">
        <w:rPr>
          <w:rFonts w:asciiTheme="majorEastAsia" w:eastAsiaTheme="majorEastAsia" w:hAnsiTheme="majorEastAsia" w:cs="方正小标宋简体"/>
          <w:sz w:val="44"/>
          <w:szCs w:val="44"/>
        </w:rPr>
        <w:lastRenderedPageBreak/>
        <w:t>2015</w:t>
      </w:r>
      <w:r w:rsidRPr="00E16ECD">
        <w:rPr>
          <w:rFonts w:asciiTheme="majorEastAsia" w:eastAsiaTheme="majorEastAsia" w:hAnsiTheme="majorEastAsia" w:cs="方正小标宋简体" w:hint="eastAsia"/>
          <w:sz w:val="44"/>
          <w:szCs w:val="44"/>
        </w:rPr>
        <w:t>年绵阳市涪江流域水环境生态补偿专项资金第一批</w:t>
      </w:r>
      <w:r>
        <w:rPr>
          <w:rFonts w:asciiTheme="majorEastAsia" w:eastAsiaTheme="majorEastAsia" w:hAnsiTheme="majorEastAsia" w:cs="方正小标宋简体" w:hint="eastAsia"/>
          <w:sz w:val="44"/>
          <w:szCs w:val="44"/>
        </w:rPr>
        <w:t>拟入库</w:t>
      </w:r>
      <w:r w:rsidRPr="00E16ECD">
        <w:rPr>
          <w:rFonts w:asciiTheme="majorEastAsia" w:eastAsiaTheme="majorEastAsia" w:hAnsiTheme="majorEastAsia" w:cs="方正小标宋简体" w:hint="eastAsia"/>
          <w:sz w:val="44"/>
          <w:szCs w:val="44"/>
        </w:rPr>
        <w:t>项目</w:t>
      </w:r>
      <w:r>
        <w:rPr>
          <w:rFonts w:asciiTheme="majorEastAsia" w:eastAsiaTheme="majorEastAsia" w:hAnsiTheme="majorEastAsia" w:cs="方正小标宋简体" w:hint="eastAsia"/>
          <w:sz w:val="44"/>
          <w:szCs w:val="44"/>
        </w:rPr>
        <w:t>名单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1138"/>
        <w:gridCol w:w="1864"/>
        <w:gridCol w:w="4990"/>
      </w:tblGrid>
      <w:tr w:rsidR="00076E38" w:rsidRPr="00076E38" w:rsidTr="00D81F5E">
        <w:trPr>
          <w:trHeight w:val="4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申报项目名称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申报项目建设内容</w:t>
            </w:r>
          </w:p>
        </w:tc>
      </w:tr>
      <w:tr w:rsidR="00076E38" w:rsidRPr="00076E38" w:rsidTr="00D81F5E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游仙区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刘家镇污水处理及配套管网建设工程项目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采用生物转盘处理工艺建污水处理站一处，</w:t>
            </w:r>
            <w:r w:rsidR="006E1B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处理规模为1000吨/天，</w:t>
            </w: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配套建设附属设施。</w:t>
            </w:r>
          </w:p>
        </w:tc>
      </w:tr>
      <w:tr w:rsidR="00076E38" w:rsidRPr="00076E38" w:rsidTr="00D81F5E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游仙区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徐家镇污水处理及配套管网建设工程项目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采用生物转盘处理工艺建污水处理站一处，</w:t>
            </w:r>
            <w:r w:rsidR="006E1B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处理规模为800吨/天，</w:t>
            </w: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配套建设附属设施。</w:t>
            </w:r>
          </w:p>
        </w:tc>
      </w:tr>
      <w:tr w:rsidR="00076E38" w:rsidRPr="00076E38" w:rsidTr="00D81F5E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平武县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高村乡生活污水处理项目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采用生物转盘处理工艺建污水处理站一处</w:t>
            </w:r>
            <w:r w:rsidR="006E1B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，处理规模为400吨/天，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配套建设附属设施</w:t>
            </w:r>
            <w:r w:rsidR="00D81F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076E38" w:rsidRPr="00076E38" w:rsidTr="00D81F5E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三台县百顷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镇生活污水处理工程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总体设计规模为300吨/天，采用FMBR一体化处理工艺，项目主要构筑物为：格栅井、调节池、FMBR处理系统、消毒池、污泥浓缩间</w:t>
            </w:r>
            <w:r w:rsidR="00D81F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076E38" w:rsidRPr="00076E38" w:rsidTr="00D81F5E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芦溪-花园生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活污水处理工程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项目位于芦溪工业集中区内，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占地15000m2，在原芦溪镇污水处理厂基础上扩建5000吨/天处理能力总体规模达到10000吨/天，项目主要构筑物为：CASS生化池、滤池、污泥浓缩间、鼓风机房、加药间、综合用房等，处理工艺采用CASS工艺。</w:t>
            </w:r>
          </w:p>
        </w:tc>
      </w:tr>
      <w:tr w:rsidR="00076E38" w:rsidRPr="00076E38" w:rsidTr="00D81F5E">
        <w:trPr>
          <w:trHeight w:val="1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三台县西平镇污水处理工程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项目位于三台县西平镇上河村，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占地面积：6000m2，采用CASS工艺，</w:t>
            </w:r>
            <w:r w:rsidR="00D81F5E"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处理规模为3000</w:t>
            </w:r>
            <w:r w:rsidR="00D81F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吨/天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，项目主要构筑物为：CASS生化池、</w:t>
            </w:r>
            <w:r w:rsidR="00D81F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盘式滤池、紫外消毒池、污泥浓缩间、鼓风机房、加药间、综合用房等</w:t>
            </w:r>
            <w:r w:rsidR="006E1B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076E38" w:rsidRPr="00076E38" w:rsidTr="00D81F5E">
        <w:trPr>
          <w:trHeight w:val="7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三台县刘营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镇污水处理工程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项目位于三台县刘营镇徐家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脊，占地面积3亩，采用CASS工艺，</w:t>
            </w:r>
            <w:r w:rsidR="006E1B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处理规模为1500吨/天，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项目主要构筑物为：CASS生化池、细格栅、调节池、滤池、污泥浓缩间、鼓风机房、加药间、综合用房等。</w:t>
            </w:r>
          </w:p>
        </w:tc>
      </w:tr>
      <w:tr w:rsidR="00076E38" w:rsidRPr="00076E38" w:rsidTr="00D81F5E">
        <w:trPr>
          <w:trHeight w:val="10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绵阳市三台（南部）农村综合改革试验区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绵阳市三台（南部）农村综合改革试验区景福镇生活污水处理工程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项目位于景福镇鲜家嘴村三组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，占地2亩，总体设计规模为700吨/天，采用生物接触氧化工艺，项目主要构筑物为：格栅井、调节池（含污水提升</w:t>
            </w:r>
            <w:r w:rsidR="00D81F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泵）、生物接触氧化池、一体化絮凝沉淀过滤器、污泥浓缩间、加药间。</w:t>
            </w:r>
            <w:r w:rsidR="00D81F5E" w:rsidRPr="00076E38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076E38" w:rsidRPr="00076E38" w:rsidTr="00D81F5E">
        <w:trPr>
          <w:trHeight w:val="5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秀水污水处理站建设项目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秀水场镇新建3个污水处理站，处理污水能力共1400</w:t>
            </w:r>
            <w:r w:rsidR="006E1B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吨/天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,采用生物转盘工艺；工程内容包括设备，土建工程等。 </w:t>
            </w:r>
          </w:p>
        </w:tc>
      </w:tr>
      <w:tr w:rsidR="00076E38" w:rsidRPr="00076E38" w:rsidTr="00D81F5E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076E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塔水污水处理站建设项目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8" w:rsidRPr="00076E38" w:rsidRDefault="00076E38" w:rsidP="00D81F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塔水场镇新建2处污水处理站，污水处理能力共600</w:t>
            </w:r>
            <w:r w:rsidR="006E1B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吨/天</w:t>
            </w:r>
            <w:r w:rsidRPr="00076E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，采用生物转盘工艺。工程内容包括设备，土建工程等。</w:t>
            </w:r>
          </w:p>
        </w:tc>
      </w:tr>
    </w:tbl>
    <w:p w:rsidR="002C4B16" w:rsidRPr="00076E38" w:rsidRDefault="002C4B16"/>
    <w:sectPr w:rsidR="002C4B16" w:rsidRPr="00076E38" w:rsidSect="0089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79" w:rsidRDefault="00060E79" w:rsidP="00841AE7">
      <w:r>
        <w:separator/>
      </w:r>
    </w:p>
  </w:endnote>
  <w:endnote w:type="continuationSeparator" w:id="0">
    <w:p w:rsidR="00060E79" w:rsidRDefault="00060E79" w:rsidP="0084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79" w:rsidRDefault="00060E79" w:rsidP="00841AE7">
      <w:r>
        <w:separator/>
      </w:r>
    </w:p>
  </w:footnote>
  <w:footnote w:type="continuationSeparator" w:id="0">
    <w:p w:rsidR="00060E79" w:rsidRDefault="00060E79" w:rsidP="0084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AE7"/>
    <w:rsid w:val="00035BB1"/>
    <w:rsid w:val="00060E79"/>
    <w:rsid w:val="00076E38"/>
    <w:rsid w:val="001F47F5"/>
    <w:rsid w:val="00255119"/>
    <w:rsid w:val="002C4B16"/>
    <w:rsid w:val="004305CE"/>
    <w:rsid w:val="00455512"/>
    <w:rsid w:val="004C5C3E"/>
    <w:rsid w:val="0056567A"/>
    <w:rsid w:val="005809F6"/>
    <w:rsid w:val="006E1BA9"/>
    <w:rsid w:val="00841AE7"/>
    <w:rsid w:val="00893E36"/>
    <w:rsid w:val="00964AB5"/>
    <w:rsid w:val="00C770A5"/>
    <w:rsid w:val="00D81F5E"/>
    <w:rsid w:val="00FC5C0A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0A7EB-DFE4-4612-A45B-4BC3986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AE7"/>
    <w:rPr>
      <w:sz w:val="18"/>
      <w:szCs w:val="18"/>
    </w:rPr>
  </w:style>
  <w:style w:type="paragraph" w:customStyle="1" w:styleId="Char1">
    <w:name w:val="Char"/>
    <w:basedOn w:val="a"/>
    <w:next w:val="a"/>
    <w:autoRedefine/>
    <w:rsid w:val="00841AE7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  <w:szCs w:val="28"/>
    </w:rPr>
  </w:style>
  <w:style w:type="paragraph" w:styleId="a5">
    <w:name w:val="Normal (Web)"/>
    <w:basedOn w:val="a"/>
    <w:uiPriority w:val="99"/>
    <w:semiHidden/>
    <w:unhideWhenUsed/>
    <w:rsid w:val="00841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1201</Characters>
  <Application>Microsoft Office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He</cp:lastModifiedBy>
  <cp:revision>14</cp:revision>
  <dcterms:created xsi:type="dcterms:W3CDTF">2015-11-18T02:27:00Z</dcterms:created>
  <dcterms:modified xsi:type="dcterms:W3CDTF">2015-11-19T08:21:00Z</dcterms:modified>
</cp:coreProperties>
</file>